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TEG1016DV8.0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本指南适用于型号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TEG1016D</w:t>
      </w:r>
      <w:r>
        <w:rPr>
          <w:rStyle w:val="DefaultParagraphFont"/>
          <w:rFonts w:ascii="MS UI Gothic" w:eastAsia="MS UI Gothic" w:hAnsi="MS UI Gothic" w:cs="MS UI Gothic"/>
        </w:rPr>
        <w:t>与</w:t>
      </w:r>
      <w:r>
        <w:rPr>
          <w:rStyle w:val="DefaultParagraphFont"/>
          <w:rFonts w:ascii="Times New Roman" w:eastAsia="Times New Roman" w:hAnsi="Times New Roman" w:cs="Times New Roman"/>
        </w:rPr>
        <w:t>TEG1024D</w:t>
      </w:r>
      <w:r>
        <w:rPr>
          <w:rStyle w:val="DefaultParagraphFont"/>
          <w:rFonts w:ascii="MS UI Gothic" w:eastAsia="MS UI Gothic" w:hAnsi="MS UI Gothic" w:cs="MS UI Gothic"/>
        </w:rPr>
        <w:t>的交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机。文中若无特</w:t>
      </w:r>
      <w:r>
        <w:rPr>
          <w:rStyle w:val="DefaultParagraphFont"/>
          <w:rFonts w:ascii="PMingLiU" w:eastAsia="PMingLiU" w:hAnsi="PMingLiU" w:cs="PMingLiU"/>
        </w:rPr>
        <w:t>别说</w:t>
      </w:r>
      <w:r>
        <w:rPr>
          <w:rStyle w:val="DefaultParagraphFont"/>
          <w:rFonts w:ascii="MS UI Gothic" w:eastAsia="MS UI Gothic" w:hAnsi="MS UI Gothic" w:cs="MS UI Gothic"/>
        </w:rPr>
        <w:t>明，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示以</w:t>
      </w:r>
      <w:r>
        <w:rPr>
          <w:rStyle w:val="DefaultParagraphFont"/>
          <w:rFonts w:ascii="Times New Roman" w:eastAsia="Times New Roman" w:hAnsi="Times New Roman" w:cs="Times New Roman"/>
        </w:rPr>
        <w:t>TEG1016D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实</w:t>
      </w:r>
      <w:r>
        <w:rPr>
          <w:rStyle w:val="DefaultParagraphFont"/>
          <w:rFonts w:ascii="MS UI Gothic" w:eastAsia="MS UI Gothic" w:hAnsi="MS UI Gothic" w:cs="MS UI Gothic"/>
        </w:rPr>
        <w:t>物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准。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首次使用本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阅读</w:t>
      </w:r>
      <w:r>
        <w:rPr>
          <w:rStyle w:val="DefaultParagraphFont"/>
          <w:rFonts w:ascii="MS UI Gothic" w:eastAsia="MS UI Gothic" w:hAnsi="MS UI Gothic" w:cs="MS UI Gothic"/>
        </w:rPr>
        <w:t>本指南。本指南主要介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、安装、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82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987402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5324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98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483"/>
      <w:bookmarkEnd w:id="1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准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安装工具及材料（需自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机架安装：防静电手环（或手套）、螺丝刀、螺钉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桌面安装：防静电手环（或手套）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墙面安装：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防静电手环（或手套）、螺丝刀、水平尺、记号笔、冲击钻、橡胶锤、梯子、螺钉（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推荐规格：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lang w:val="en-US" w:eastAsia="en-US"/>
        </w:rPr>
        <w:t>PA5*25.0mm-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头径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lang w:val="en-US" w:eastAsia="en-US"/>
        </w:rPr>
        <w:t>10.0mm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）、膨胀螺管（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推荐规格：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shd w:val="clear" w:color="auto" w:fill="FFFFFF"/>
          <w:lang w:val="en-US" w:eastAsia="en-US"/>
        </w:rPr>
        <w:t>M5*40.0mm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3"/>
        <w:keepNext w:val="0"/>
        <w:shd w:val="clear" w:color="auto" w:fill="FFFFFF"/>
        <w:spacing w:before="281" w:after="281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DefaultParagraphFont"/>
          <w:rFonts w:ascii="MS UI Gothic" w:eastAsia="MS UI Gothic" w:hAnsi="MS UI Gothic" w:cs="MS UI Gothic"/>
          <w:sz w:val="28"/>
          <w:szCs w:val="28"/>
        </w:rPr>
        <w:t>安装</w:t>
      </w:r>
      <w:r>
        <w:rPr>
          <w:rStyle w:val="DefaultParagraphFont"/>
          <w:rFonts w:ascii="PMingLiU" w:eastAsia="PMingLiU" w:hAnsi="PMingLiU" w:cs="PMingLiU"/>
          <w:sz w:val="28"/>
          <w:szCs w:val="28"/>
        </w:rPr>
        <w:t>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方式一：安装交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机到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19</w:t>
      </w:r>
      <w:r>
        <w:rPr>
          <w:rStyle w:val="DefaultParagraphFont"/>
          <w:rFonts w:ascii="MS UI Gothic" w:eastAsia="MS UI Gothic" w:hAnsi="MS UI Gothic" w:cs="MS UI Gothic"/>
          <w:b/>
          <w:bCs/>
        </w:rPr>
        <w:t>英寸</w:t>
      </w:r>
      <w:r>
        <w:rPr>
          <w:rStyle w:val="DefaultParagraphFont"/>
          <w:rFonts w:ascii="PMingLiU" w:eastAsia="PMingLiU" w:hAnsi="PMingLiU" w:cs="PMingLiU"/>
          <w:b/>
          <w:bCs/>
        </w:rPr>
        <w:t>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准机架</w:t>
      </w:r>
    </w:p>
    <w:p>
      <w:pPr>
        <w:numPr>
          <w:ilvl w:val="0"/>
          <w:numId w:val="2"/>
        </w:numPr>
        <w:shd w:val="clear" w:color="auto" w:fill="FFFFFF"/>
        <w:spacing w:before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检查机架的接地与平稳性。</w:t>
      </w:r>
    </w:p>
    <w:p>
      <w:pPr>
        <w:numPr>
          <w:ilvl w:val="0"/>
          <w:numId w:val="2"/>
        </w:numPr>
        <w:shd w:val="clear" w:color="auto" w:fill="FFFFFF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用包装配套的螺钉将两个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L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型支架分别固定在交换机的两侧。</w:t>
      </w:r>
    </w:p>
    <w:p>
      <w:pPr>
        <w:numPr>
          <w:ilvl w:val="0"/>
          <w:numId w:val="2"/>
        </w:numPr>
        <w:shd w:val="clear" w:color="auto" w:fill="FFFFFF"/>
        <w:spacing w:after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将交换机放置于机架内适当位置，用螺钉（需自备）将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L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型支架固定到机架两端的导槽上，确保交换机平稳地安装在机架上。</w:t>
      </w:r>
    </w:p>
    <w:p>
      <w:pPr>
        <w:pStyle w:val="a"/>
        <w:shd w:val="clear" w:color="auto" w:fill="FFFFFF"/>
        <w:spacing w:before="120" w:after="120"/>
        <w:ind w:left="615" w:right="195" w:firstLine="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i/>
          <w:iCs/>
          <w:color w:val="000000"/>
          <w:lang w:val="en-US" w:eastAsia="en-US"/>
        </w:rPr>
        <w:t> </w:t>
      </w:r>
      <w:r>
        <w:rPr>
          <w:rStyle w:val="DefaultParagraphFont"/>
          <w:rFonts w:ascii="Times New Roman" w:eastAsia="Times New Roman" w:hAnsi="Times New Roman" w:cs="Times New Roman"/>
          <w:i/>
          <w:iCs/>
          <w:strike w:val="0"/>
          <w:color w:val="000000"/>
          <w:u w:val="none"/>
          <w:lang w:val="en-US" w:eastAsia="en-US"/>
        </w:rPr>
        <w:drawing>
          <wp:inline>
            <wp:extent cx="7179310" cy="4646882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258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64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615" w:right="195" w:hanging="42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  <w:color w:val="000000"/>
        </w:rPr>
        <w:t>方式二：安装交换机到桌面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将脚垫粘贴在机壳底面四角对应的凹槽中，然后将交换机正面朝上，水平放置于足够大并且干净平稳的桌面上。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7179310" cy="3181516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8797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18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方式三：安装交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机到</w:t>
      </w:r>
      <w:r>
        <w:rPr>
          <w:rStyle w:val="DefaultParagraphFont"/>
          <w:rFonts w:ascii="PMingLiU" w:eastAsia="PMingLiU" w:hAnsi="PMingLiU" w:cs="PMingLiU"/>
          <w:b/>
          <w:bCs/>
        </w:rPr>
        <w:t>墙</w:t>
      </w:r>
      <w:r>
        <w:rPr>
          <w:rStyle w:val="DefaultParagraphFont"/>
          <w:rFonts w:ascii="MS UI Gothic" w:eastAsia="MS UI Gothic" w:hAnsi="MS UI Gothic" w:cs="MS UI Gothic"/>
          <w:b/>
          <w:bCs/>
        </w:rPr>
        <w:t>面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 w:line="480" w:lineRule="atLeast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zhuy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注意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 xml:space="preserve">— 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仅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适宜安装在不易燃的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面上，如混凝土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 xml:space="preserve">— 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勿将散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热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孔朝下，否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会有安全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隐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患。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shd w:val="clear" w:color="auto" w:fill="FFFFFF"/>
        <w:spacing w:before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用包装配套的螺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将两个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</w:t>
      </w:r>
      <w:r>
        <w:rPr>
          <w:rStyle w:val="DefaultParagraphFont"/>
          <w:rFonts w:ascii="MS UI Gothic" w:eastAsia="MS UI Gothic" w:hAnsi="MS UI Gothic" w:cs="MS UI Gothic"/>
        </w:rPr>
        <w:t>型支架分</w:t>
      </w:r>
      <w:r>
        <w:rPr>
          <w:rStyle w:val="DefaultParagraphFont"/>
          <w:rFonts w:ascii="PMingLiU" w:eastAsia="PMingLiU" w:hAnsi="PMingLiU" w:cs="PMingLiU"/>
        </w:rPr>
        <w:t>别</w:t>
      </w:r>
      <w:r>
        <w:rPr>
          <w:rStyle w:val="DefaultParagraphFont"/>
          <w:rFonts w:ascii="MS UI Gothic" w:eastAsia="MS UI Gothic" w:hAnsi="MS UI Gothic" w:cs="MS UI Gothic"/>
        </w:rPr>
        <w:t>固定在交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机的两</w:t>
      </w:r>
      <w:r>
        <w:rPr>
          <w:rStyle w:val="DefaultParagraphFont"/>
          <w:rFonts w:ascii="PMingLiU" w:eastAsia="PMingLiU" w:hAnsi="PMingLiU" w:cs="PMingLiU"/>
        </w:rPr>
        <w:t>侧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3"/>
        </w:numPr>
        <w:shd w:val="clear" w:color="auto" w:fill="FFFFFF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RJ45</w:t>
      </w:r>
      <w:r>
        <w:rPr>
          <w:rStyle w:val="DefaultParagraphFont"/>
          <w:rFonts w:ascii="MS UI Gothic" w:eastAsia="MS UI Gothic" w:hAnsi="MS UI Gothic" w:cs="MS UI Gothic"/>
        </w:rPr>
        <w:t>端口朝上水平</w:t>
      </w:r>
      <w:r>
        <w:rPr>
          <w:rStyle w:val="DefaultParagraphFont"/>
          <w:rFonts w:ascii="PMingLiU" w:eastAsia="PMingLiU" w:hAnsi="PMingLiU" w:cs="PMingLiU"/>
        </w:rPr>
        <w:t>贴</w:t>
      </w:r>
      <w:r>
        <w:rPr>
          <w:rStyle w:val="DefaultParagraphFont"/>
          <w:rFonts w:ascii="MS UI Gothic" w:eastAsia="MS UI Gothic" w:hAnsi="MS UI Gothic" w:cs="MS UI Gothic"/>
        </w:rPr>
        <w:t>于</w:t>
      </w:r>
      <w:r>
        <w:rPr>
          <w:rStyle w:val="DefaultParagraphFont"/>
          <w:rFonts w:ascii="PMingLiU" w:eastAsia="PMingLiU" w:hAnsi="PMingLiU" w:cs="PMingLiU"/>
        </w:rPr>
        <w:t>选</w:t>
      </w:r>
      <w:r>
        <w:rPr>
          <w:rStyle w:val="DefaultParagraphFont"/>
          <w:rFonts w:ascii="MS UI Gothic" w:eastAsia="MS UI Gothic" w:hAnsi="MS UI Gothic" w:cs="MS UI Gothic"/>
        </w:rPr>
        <w:t>定的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上，用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号笔</w:t>
      </w:r>
      <w:r>
        <w:rPr>
          <w:rStyle w:val="DefaultParagraphFont"/>
          <w:rFonts w:ascii="PMingLiU" w:eastAsia="PMingLiU" w:hAnsi="PMingLiU" w:cs="PMingLiU"/>
        </w:rPr>
        <w:t>标记</w:t>
      </w:r>
      <w:r>
        <w:rPr>
          <w:rStyle w:val="DefaultParagraphFont"/>
          <w:rFonts w:ascii="MS UI Gothic" w:eastAsia="MS UI Gothic" w:hAnsi="MS UI Gothic" w:cs="MS UI Gothic"/>
        </w:rPr>
        <w:t>好支架螺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孔的位置，然后用冲</w:t>
      </w:r>
      <w:r>
        <w:rPr>
          <w:rStyle w:val="DefaultParagraphFont"/>
          <w:rFonts w:ascii="PMingLiU" w:eastAsia="PMingLiU" w:hAnsi="PMingLiU" w:cs="PMingLiU"/>
        </w:rPr>
        <w:t>击钻</w:t>
      </w:r>
      <w:r>
        <w:rPr>
          <w:rStyle w:val="DefaultParagraphFont"/>
          <w:rFonts w:ascii="MS UI Gothic" w:eastAsia="MS UI Gothic" w:hAnsi="MS UI Gothic" w:cs="MS UI Gothic"/>
        </w:rPr>
        <w:t>在</w:t>
      </w:r>
      <w:r>
        <w:rPr>
          <w:rStyle w:val="DefaultParagraphFont"/>
          <w:rFonts w:ascii="PMingLiU" w:eastAsia="PMingLiU" w:hAnsi="PMingLiU" w:cs="PMingLiU"/>
        </w:rPr>
        <w:t>标记</w:t>
      </w:r>
      <w:r>
        <w:rPr>
          <w:rStyle w:val="DefaultParagraphFont"/>
          <w:rFonts w:ascii="MS UI Gothic" w:eastAsia="MS UI Gothic" w:hAnsi="MS UI Gothic" w:cs="MS UI Gothic"/>
        </w:rPr>
        <w:t>位置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孔，再将膨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螺管（需自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MS UI Gothic" w:eastAsia="MS UI Gothic" w:hAnsi="MS UI Gothic" w:cs="MS UI Gothic"/>
        </w:rPr>
        <w:t>，推荐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M5*40.0mm</w:t>
      </w:r>
      <w:r>
        <w:rPr>
          <w:rStyle w:val="DefaultParagraphFont"/>
          <w:rFonts w:ascii="MS UI Gothic" w:eastAsia="MS UI Gothic" w:hAnsi="MS UI Gothic" w:cs="MS UI Gothic"/>
        </w:rPr>
        <w:t>）打入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上的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孔中。</w:t>
      </w:r>
    </w:p>
    <w:p>
      <w:pPr>
        <w:numPr>
          <w:ilvl w:val="0"/>
          <w:numId w:val="3"/>
        </w:numPr>
        <w:shd w:val="clear" w:color="auto" w:fill="FFFFFF"/>
        <w:spacing w:after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RJ45</w:t>
      </w:r>
      <w:r>
        <w:rPr>
          <w:rStyle w:val="DefaultParagraphFont"/>
          <w:rFonts w:ascii="MS UI Gothic" w:eastAsia="MS UI Gothic" w:hAnsi="MS UI Gothic" w:cs="MS UI Gothic"/>
        </w:rPr>
        <w:t>端口朝上，然后用螺</w:t>
      </w:r>
      <w:r>
        <w:rPr>
          <w:rStyle w:val="DefaultParagraphFont"/>
          <w:rFonts w:ascii="PMingLiU" w:eastAsia="PMingLiU" w:hAnsi="PMingLiU" w:cs="PMingLiU"/>
        </w:rPr>
        <w:t>丝</w:t>
      </w:r>
      <w:r>
        <w:rPr>
          <w:rStyle w:val="DefaultParagraphFont"/>
          <w:rFonts w:ascii="MS UI Gothic" w:eastAsia="MS UI Gothic" w:hAnsi="MS UI Gothic" w:cs="MS UI Gothic"/>
        </w:rPr>
        <w:t>刀将已穿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</w:t>
      </w:r>
      <w:r>
        <w:rPr>
          <w:rStyle w:val="DefaultParagraphFont"/>
          <w:rFonts w:ascii="MS UI Gothic" w:eastAsia="MS UI Gothic" w:hAnsi="MS UI Gothic" w:cs="MS UI Gothic"/>
        </w:rPr>
        <w:t>型支架的螺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（需自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MS UI Gothic" w:eastAsia="MS UI Gothic" w:hAnsi="MS UI Gothic" w:cs="MS UI Gothic"/>
        </w:rPr>
        <w:t>，推荐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PA5*25.0mm-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10.0mm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拧进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螺管，确保交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固地安装到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面。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color w:val="000000"/>
          <w:sz w:val="21"/>
          <w:szCs w:val="21"/>
          <w:u w:val="none"/>
        </w:rPr>
        <w:drawing>
          <wp:inline>
            <wp:extent cx="7179310" cy="5796591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9158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79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484"/>
      <w:bookmarkEnd w:id="2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情况下，本系列交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4536891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1969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53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思源黑体 CN Regular" w:eastAsia="思源黑体 CN Regular" w:hAnsi="思源黑体 CN Regular" w:cs="思源黑体 CN Regular"/>
          <w:color w:val="000000"/>
          <w:sz w:val="21"/>
          <w:szCs w:val="21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机支持端口自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动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转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（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  <w:lang w:val="en-US" w:eastAsia="en-US"/>
        </w:rPr>
        <w:t>Auto MDI/MDIX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），用网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线连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接交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机与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对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端以太网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设备时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，使用直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连线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或交叉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均可。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参考下表，</w:t>
      </w:r>
      <w:r>
        <w:rPr>
          <w:rStyle w:val="DefaultParagraphFont"/>
          <w:rFonts w:ascii="PMingLiU" w:eastAsia="PMingLiU" w:hAnsi="PMingLiU" w:cs="PMingLiU"/>
        </w:rPr>
        <w:t>检查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接是否正确，或者根据需要</w:t>
      </w:r>
      <w:r>
        <w:rPr>
          <w:rStyle w:val="DefaultParagraphFont"/>
          <w:rFonts w:ascii="PMingLiU" w:eastAsia="PMingLiU" w:hAnsi="PMingLiU" w:cs="PMingLiU"/>
        </w:rPr>
        <w:t>调节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机的工作模式。</w:t>
      </w:r>
    </w:p>
    <w:tbl>
      <w:tblPr>
        <w:tblStyle w:val="MsoTableGrid"/>
        <w:tblW w:w="4000" w:type="pct"/>
        <w:tblCellSpacing w:w="0" w:type="dxa"/>
        <w:tblInd w:w="30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47"/>
        <w:gridCol w:w="6526"/>
      </w:tblGrid>
      <w:tr>
        <w:tblPrEx>
          <w:tblW w:w="4000" w:type="pct"/>
          <w:tblCellSpacing w:w="0" w:type="dxa"/>
          <w:tblInd w:w="30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43"/>
          <w:tblHeader/>
          <w:tblCellSpacing w:w="0" w:type="dxa"/>
        </w:trPr>
        <w:tc>
          <w:tcPr>
            <w:tcW w:w="1281" w:type="pct"/>
            <w:tcBorders>
              <w:top w:val="dotted" w:sz="8" w:space="0" w:color="A6A6A6"/>
              <w:bottom w:val="dotted" w:sz="8" w:space="0" w:color="A6A6A6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拨码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开关</w:t>
            </w:r>
          </w:p>
        </w:tc>
        <w:tc>
          <w:tcPr>
            <w:tcW w:w="3720" w:type="pct"/>
            <w:tcBorders>
              <w:top w:val="dotted" w:sz="8" w:space="0" w:color="A6A6A6"/>
              <w:bottom w:val="dotted" w:sz="8" w:space="0" w:color="A6A6A6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明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962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4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正常。</w:t>
            </w:r>
          </w:p>
          <w:p>
            <w:pPr>
              <w:pStyle w:val="Heading4"/>
              <w:keepNext w:val="0"/>
              <w:numPr>
                <w:ilvl w:val="0"/>
                <w:numId w:val="4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机未通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，或通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260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Link/Act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5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亮：端口已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，当前没有数据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：端口已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，当前正在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数据。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：端口未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接，或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222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工作模式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拨码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开关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6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准共享：默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认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模式。此模式下，所有端口之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均可相互通信。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VLAN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隔离：此模式下，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TEG1016D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1~14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相互隔离，但都能与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15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16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口相互通信；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TEG1024D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1~22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相互隔离，但都能与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23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24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口相互通信。此模式可用于减少广播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风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暴，隔离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DHCP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广播。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克隆：此模式下，交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机关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所有端口的流控功能，能适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各种复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杂环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境下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>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克隆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>”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用的需求。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：此模式下，交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机的上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Uplink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进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行静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态汇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成一个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中各成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员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端口按接收数据中的源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MAC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地址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+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目的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MAC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地址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进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荷分担。此模式适用于接入交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机，可提高交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联带宽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，防止数据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塞。</w:t>
            </w:r>
          </w:p>
        </w:tc>
      </w:tr>
    </w:tbl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485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其他典型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组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图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克隆模式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094360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5234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0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</w:t>
      </w:r>
      <w:r>
        <w:rPr>
          <w:rStyle w:val="DefaultParagraphFont"/>
          <w:rFonts w:ascii="PMingLiU" w:eastAsia="PMingLiU" w:hAnsi="PMingLiU" w:cs="PMingLiU"/>
        </w:rPr>
        <w:t>汇</w:t>
      </w:r>
      <w:r>
        <w:rPr>
          <w:rStyle w:val="DefaultParagraphFont"/>
          <w:rFonts w:ascii="MS UI Gothic" w:eastAsia="MS UI Gothic" w:hAnsi="MS UI Gothic" w:cs="MS UI Gothic"/>
        </w:rPr>
        <w:t>聚上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806433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2794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8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zhuy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注意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机工作在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聚上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模式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，上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口（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  <w:lang w:val="en-US" w:eastAsia="en-US"/>
        </w:rPr>
        <w:t>Uplink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口）的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对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端口也需支持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聚功能，否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可能会造成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环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路！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VLAN</w:t>
      </w:r>
      <w:r>
        <w:rPr>
          <w:rStyle w:val="DefaultParagraphFont"/>
          <w:rFonts w:ascii="MS UI Gothic" w:eastAsia="MS UI Gothic" w:hAnsi="MS UI Gothic" w:cs="MS UI Gothic"/>
        </w:rPr>
        <w:t>隔离模式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806433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9206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8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486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解答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  <w:b/>
          <w:bCs/>
        </w:rPr>
        <w:t>电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源灯（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Power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7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与交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机及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源插座均接触良好。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正常。</w:t>
      </w:r>
    </w:p>
    <w:p>
      <w:pPr>
        <w:numPr>
          <w:ilvl w:val="0"/>
          <w:numId w:val="7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格符合交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入要求。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机的端口接入</w:t>
      </w:r>
      <w:r>
        <w:rPr>
          <w:rStyle w:val="DefaultParagraphFont"/>
          <w:rFonts w:ascii="PMingLiU" w:eastAsia="PMingLiU" w:hAnsi="PMingLiU" w:cs="PMingLiU"/>
          <w:b/>
          <w:bCs/>
        </w:rPr>
        <w:t>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后，交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</w:t>
      </w:r>
      <w:r>
        <w:rPr>
          <w:rStyle w:val="DefaultParagraphFont"/>
          <w:rFonts w:ascii="PMingLiU" w:eastAsia="PMingLiU" w:hAnsi="PMingLiU" w:cs="PMingLiU"/>
          <w:b/>
          <w:bCs/>
        </w:rPr>
        <w:t>对应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端口状</w:t>
      </w:r>
      <w:r>
        <w:rPr>
          <w:rStyle w:val="DefaultParagraphFont"/>
          <w:rFonts w:ascii="PMingLiU" w:eastAsia="PMingLiU" w:hAnsi="PMingLiU" w:cs="PMingLiU"/>
          <w:b/>
          <w:bCs/>
        </w:rPr>
        <w:t>态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Link/Act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8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机与接入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之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接正常，且网</w:t>
      </w:r>
      <w:r>
        <w:rPr>
          <w:rStyle w:val="DefaultParagraphFont"/>
          <w:rFonts w:ascii="PMingLiU" w:eastAsia="PMingLiU" w:hAnsi="PMingLiU" w:cs="PMingLiU"/>
        </w:rPr>
        <w:t>线长</w:t>
      </w:r>
      <w:r>
        <w:rPr>
          <w:rStyle w:val="DefaultParagraphFont"/>
          <w:rFonts w:ascii="MS UI Gothic" w:eastAsia="MS UI Gothic" w:hAnsi="MS UI Gothic" w:cs="MS UI Gothic"/>
        </w:rPr>
        <w:t>度在</w:t>
      </w:r>
      <w:r>
        <w:rPr>
          <w:rStyle w:val="DefaultParagraphFont"/>
          <w:rFonts w:ascii="PMingLiU" w:eastAsia="PMingLiU" w:hAnsi="PMingLiU" w:cs="PMingLiU"/>
        </w:rPr>
        <w:t>标</w:t>
      </w:r>
      <w:r>
        <w:rPr>
          <w:rStyle w:val="DefaultParagraphFont"/>
          <w:rFonts w:ascii="MS UI Gothic" w:eastAsia="MS UI Gothic" w:hAnsi="MS UI Gothic" w:cs="MS UI Gothic"/>
        </w:rPr>
        <w:t>准范</w:t>
      </w:r>
      <w:r>
        <w:rPr>
          <w:rStyle w:val="DefaultParagraphFont"/>
          <w:rFonts w:ascii="PMingLiU" w:eastAsia="PMingLiU" w:hAnsi="PMingLiU" w:cs="PMingLiU"/>
        </w:rPr>
        <w:t>围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≤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100</w:t>
      </w:r>
      <w:r>
        <w:rPr>
          <w:rStyle w:val="DefaultParagraphFont"/>
          <w:rFonts w:ascii="MS UI Gothic" w:eastAsia="MS UI Gothic" w:hAnsi="MS UI Gothic" w:cs="MS UI Gothic"/>
        </w:rPr>
        <w:t>米）内。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正常，即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Power</w:t>
      </w:r>
      <w:r>
        <w:rPr>
          <w:rStyle w:val="DefaultParagraphFont"/>
          <w:rFonts w:ascii="MS UI Gothic" w:eastAsia="MS UI Gothic" w:hAnsi="MS UI Gothic" w:cs="MS UI Gothic"/>
        </w:rPr>
        <w:t>灯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亮。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已通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且工作正常。</w:t>
      </w:r>
    </w:p>
    <w:p>
      <w:pPr>
        <w:numPr>
          <w:ilvl w:val="0"/>
          <w:numId w:val="8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更多</w:t>
      </w:r>
      <w:r>
        <w:rPr>
          <w:rStyle w:val="DefaultParagraphFont"/>
          <w:rFonts w:ascii="PMingLiU" w:eastAsia="PMingLiU" w:hAnsi="PMingLiU" w:cs="PMingLiU"/>
        </w:rPr>
        <w:t>问题请访问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官方网站（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"https://www.tenda.com.cn/default.html"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t>www.tenda.com.cn</w:t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fldChar w:fldCharType="end"/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取技</w:t>
      </w:r>
      <w:r>
        <w:rPr>
          <w:rStyle w:val="DefaultParagraphFont"/>
          <w:rFonts w:ascii="PMingLiU" w:eastAsia="PMingLiU" w:hAnsi="PMingLiU" w:cs="PMingLiU"/>
        </w:rPr>
        <w:t>术</w:t>
      </w:r>
      <w:r>
        <w:rPr>
          <w:rStyle w:val="DefaultParagraphFont"/>
          <w:rFonts w:ascii="MS UI Gothic" w:eastAsia="MS UI Gothic" w:hAnsi="MS UI Gothic" w:cs="MS UI Gothic"/>
        </w:rPr>
        <w:t>支持。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487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安全注意事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项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在使用和操作本设备前，请阅读并遵守以下注意事项，以确保设备性能稳定，并避免出现危险或非法情况。</w:t>
      </w:r>
    </w:p>
    <w:p>
      <w:pPr>
        <w:numPr>
          <w:ilvl w:val="0"/>
          <w:numId w:val="9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安装过程中，需佩戴防静电手环或防静电手套，且本设备应保持断电状态。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使用包装配套的电源线给本设备供电。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电源插头作为断开电源的装置。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电源插座应安装在本设备附近并应易于触及。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确保输入电压在本设备标明的输入电压范围内。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在居住环境中，运行本设备可能会造成无线干扰。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工作环境：温度：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~45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10~90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，无凝结；存储环境：温度：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-40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~70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5~90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，无凝结。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确保本设备远离水、火、强电场、强磁场、易燃易爆物品。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若电源插头或电源线已损坏，请勿继续使用。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若本设备出现冒烟、异响、有异味等异常现象，请立刻停止使用并断开电源，拔出连接在本设备上的所有线缆，并联系售后。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请勿擅自拆卸或改装本设备及配件，否则该设备及配件将不予保修，也可能发生危险。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确保本设备散热孔通风良好。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请勿在本设备上放置其他重物。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b w:val="0"/>
          <w:bCs w:val="0"/>
          <w:i w:val="0"/>
          <w:iCs w:val="0"/>
          <w:smallCaps w:val="0"/>
          <w:color w:val="000000"/>
          <w:sz w:val="14"/>
          <w:szCs w:val="14"/>
          <w:lang w:val="en-US" w:eastAsia="en-US"/>
        </w:rPr>
        <w:t> 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保持本设备使用环境空气清洁。本设备需要定期除尘，清洁本设备前，请切断电源。请勿使用任何液体擦洗本设备</w:t>
      </w:r>
    </w:p>
    <w:p>
      <w:pPr>
        <w:numPr>
          <w:ilvl w:val="0"/>
          <w:numId w:val="9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正确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行防雷安装，具体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参考《防雷安装手册》。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a"/>
    <w:basedOn w:val="Normal"/>
  </w:style>
  <w:style w:type="paragraph" w:customStyle="1" w:styleId="MsoNormal">
    <w:name w:val="MsoNormal"/>
    <w:basedOn w:val="Normal"/>
  </w:style>
  <w:style w:type="character" w:customStyle="1" w:styleId="iconfonticon-zhuyi">
    <w:name w:val="iconfont icon-zhuyi"/>
    <w:basedOn w:val="DefaultParagraphFont"/>
  </w:style>
  <w:style w:type="character" w:customStyle="1" w:styleId="iconfonticon-tishi">
    <w:name w:val="iconfont icon-tishi"/>
    <w:basedOn w:val="DefaultParagraphFont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