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2.0.0 -->
  <w:body>
    <w:p>
      <w:pPr>
        <w:pStyle w:val="Heading1"/>
        <w:keepNext w:val="0"/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322" w:after="322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Style w:val="DefaultParagraphFont"/>
          <w:rFonts w:ascii="Times New Roman" w:eastAsia="Times New Roman" w:hAnsi="Times New Roman" w:cs="Times New Roman"/>
          <w:kern w:val="36"/>
          <w:sz w:val="48"/>
          <w:szCs w:val="48"/>
        </w:rPr>
        <w:t xml:space="preserve">AX12V2.0 </w:t>
      </w:r>
      <w:r>
        <w:rPr>
          <w:rStyle w:val="DefaultParagraphFont"/>
          <w:rFonts w:ascii="MS UI Gothic" w:eastAsia="MS UI Gothic" w:hAnsi="MS UI Gothic" w:cs="MS UI Gothic"/>
          <w:kern w:val="36"/>
          <w:sz w:val="48"/>
          <w:szCs w:val="48"/>
        </w:rPr>
        <w:t>安装指南</w:t>
      </w:r>
    </w:p>
    <w:p>
      <w:pPr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75" w:after="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本指南主要介</w:t>
      </w:r>
      <w:r>
        <w:rPr>
          <w:rStyle w:val="DefaultParagraphFont"/>
          <w:rFonts w:ascii="PMingLiU" w:eastAsia="PMingLiU" w:hAnsi="PMingLiU" w:cs="PMingLiU"/>
        </w:rPr>
        <w:t>绍设备</w:t>
      </w:r>
      <w:r>
        <w:rPr>
          <w:rStyle w:val="DefaultParagraphFont"/>
          <w:rFonts w:ascii="MS UI Gothic" w:eastAsia="MS UI Gothic" w:hAnsi="MS UI Gothic" w:cs="MS UI Gothic"/>
        </w:rPr>
        <w:t>包装清</w:t>
      </w:r>
      <w:r>
        <w:rPr>
          <w:rStyle w:val="DefaultParagraphFont"/>
          <w:rFonts w:ascii="PMingLiU" w:eastAsia="PMingLiU" w:hAnsi="PMingLiU" w:cs="PMingLiU"/>
        </w:rPr>
        <w:t>单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连线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置上网方法、指示灯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接口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按</w:t>
      </w:r>
      <w:r>
        <w:rPr>
          <w:rStyle w:val="DefaultParagraphFont"/>
          <w:rFonts w:ascii="PMingLiU" w:eastAsia="PMingLiU" w:hAnsi="PMingLiU" w:cs="PMingLiU"/>
        </w:rPr>
        <w:t>钮说</w:t>
      </w:r>
      <w:r>
        <w:rPr>
          <w:rStyle w:val="DefaultParagraphFont"/>
          <w:rFonts w:ascii="MS UI Gothic" w:eastAsia="MS UI Gothic" w:hAnsi="MS UI Gothic" w:cs="MS UI Gothic"/>
        </w:rPr>
        <w:t>明、常</w:t>
      </w:r>
      <w:r>
        <w:rPr>
          <w:rStyle w:val="DefaultParagraphFont"/>
          <w:rFonts w:ascii="PMingLiU" w:eastAsia="PMingLiU" w:hAnsi="PMingLiU" w:cs="PMingLiU"/>
        </w:rPr>
        <w:t>见问题</w:t>
      </w:r>
      <w:r>
        <w:rPr>
          <w:rStyle w:val="DefaultParagraphFont"/>
          <w:rFonts w:ascii="MS UI Gothic" w:eastAsia="MS UI Gothic" w:hAnsi="MS UI Gothic" w:cs="MS UI Gothic"/>
        </w:rPr>
        <w:t>及安全信息，若要了解更多功能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置，可在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其他</w:t>
      </w:r>
      <w:r>
        <w:rPr>
          <w:rStyle w:val="DefaultParagraphFont"/>
          <w:rFonts w:ascii="PMingLiU" w:eastAsia="PMingLiU" w:hAnsi="PMingLiU" w:cs="PMingLiU"/>
        </w:rPr>
        <w:t>资</w:t>
      </w:r>
      <w:r>
        <w:rPr>
          <w:rStyle w:val="DefaultParagraphFont"/>
          <w:rFonts w:ascii="MS UI Gothic" w:eastAsia="MS UI Gothic" w:hAnsi="MS UI Gothic" w:cs="MS UI Gothic"/>
        </w:rPr>
        <w:t>料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模</w:t>
      </w:r>
      <w:r>
        <w:rPr>
          <w:rStyle w:val="DefaultParagraphFont"/>
          <w:rFonts w:ascii="PMingLiU" w:eastAsia="PMingLiU" w:hAnsi="PMingLiU" w:cs="PMingLiU"/>
        </w:rPr>
        <w:t>块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MS UI Gothic" w:eastAsia="MS UI Gothic" w:hAnsi="MS UI Gothic" w:cs="MS UI Gothic"/>
        </w:rPr>
        <w:t>官网（</w:t>
      </w:r>
      <w:r>
        <w:rPr>
          <w:rStyle w:val="DefaultParagraphFont"/>
          <w:rFonts w:ascii="Times New Roman" w:eastAsia="Times New Roman" w:hAnsi="Times New Roman" w:cs="Times New Roman"/>
        </w:rPr>
        <w:t>www.tenda.com.cn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查</w:t>
      </w:r>
      <w:r>
        <w:rPr>
          <w:rStyle w:val="DefaultParagraphFont"/>
          <w:rFonts w:ascii="MS UI Gothic" w:eastAsia="MS UI Gothic" w:hAnsi="MS UI Gothic" w:cs="MS UI Gothic"/>
        </w:rPr>
        <w:t>看</w:t>
      </w:r>
      <w:r>
        <w:rPr>
          <w:rStyle w:val="DefaultParagraphFont"/>
          <w:rFonts w:ascii="PMingLiU" w:eastAsia="PMingLiU" w:hAnsi="PMingLiU" w:cs="PMingLiU"/>
        </w:rPr>
        <w:t>产</w:t>
      </w:r>
      <w:r>
        <w:rPr>
          <w:rStyle w:val="DefaultParagraphFont"/>
          <w:rFonts w:ascii="MS UI Gothic" w:eastAsia="MS UI Gothic" w:hAnsi="MS UI Gothic" w:cs="MS UI Gothic"/>
        </w:rPr>
        <w:t>品使用</w:t>
      </w:r>
      <w:r>
        <w:rPr>
          <w:rStyle w:val="DefaultParagraphFont"/>
          <w:rFonts w:ascii="PMingLiU" w:eastAsia="PMingLiU" w:hAnsi="PMingLiU" w:cs="PMingLiU"/>
        </w:rPr>
        <w:t>说</w:t>
      </w:r>
      <w:r>
        <w:rPr>
          <w:rStyle w:val="DefaultParagraphFont"/>
          <w:rFonts w:ascii="MS UI Gothic" w:eastAsia="MS UI Gothic" w:hAnsi="MS UI Gothic" w:cs="MS UI Gothic"/>
        </w:rPr>
        <w:t>明</w:t>
      </w:r>
      <w:r>
        <w:rPr>
          <w:rStyle w:val="DefaultParagraphFont"/>
          <w:rFonts w:ascii="PMingLiU" w:eastAsia="PMingLiU" w:hAnsi="PMingLiU" w:cs="PMingLiU"/>
        </w:rPr>
        <w:t>书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配置指南）。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CQIG447"/>
      <w:bookmarkEnd w:id="0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包装清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单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6276975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96814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CQIG449"/>
      <w:bookmarkEnd w:id="1"/>
      <w:r>
        <w:rPr>
          <w:rStyle w:val="DefaultParagraphFont"/>
          <w:rFonts w:ascii="PMingLiU" w:eastAsia="PMingLiU" w:hAnsi="PMingLiU" w:cs="PMingLiU"/>
          <w:sz w:val="24"/>
          <w:szCs w:val="24"/>
        </w:rPr>
        <w:t>设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置上网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根据您的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组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网需求，参照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景一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或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景二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进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置。</w:t>
      </w:r>
    </w:p>
    <w:p>
      <w:pPr>
        <w:pStyle w:val="Heading3"/>
        <w:keepNext w:val="0"/>
        <w:shd w:val="clear" w:color="auto" w:fill="FFFFFF"/>
        <w:spacing w:before="281" w:after="281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Style w:val="DefaultParagraphFont"/>
          <w:rFonts w:ascii="PMingLiU" w:eastAsia="PMingLiU" w:hAnsi="PMingLiU" w:cs="PMingLiU"/>
          <w:sz w:val="28"/>
          <w:szCs w:val="28"/>
        </w:rPr>
        <w:t>场</w:t>
      </w:r>
      <w:r>
        <w:rPr>
          <w:rStyle w:val="DefaultParagraphFont"/>
          <w:rFonts w:ascii="MS UI Gothic" w:eastAsia="MS UI Gothic" w:hAnsi="MS UI Gothic" w:cs="MS UI Gothic"/>
          <w:sz w:val="28"/>
          <w:szCs w:val="28"/>
        </w:rPr>
        <w:t>景一：首次使用此路由器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步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骤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：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连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接路由器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4106525"/>
            <wp:docPr id="10000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94269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41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步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骤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：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设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置路由器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联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网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方法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：通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过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Web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置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1.  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在已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接到路由器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的手机或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电脑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上，打开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浏览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器，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访问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fldChar w:fldCharType="begin"/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instrText xml:space="preserve"> HYPERLINK "http://tendawifi.com" </w:instrTex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fldChar w:fldCharType="separate"/>
      </w:r>
      <w:r>
        <w:rPr>
          <w:rStyle w:val="DefaultParagraphFont"/>
          <w:rFonts w:ascii="Times New Roman" w:eastAsia="Times New Roman" w:hAnsi="Times New Roman" w:cs="Times New Roman"/>
          <w:color w:val="0000EE"/>
          <w:sz w:val="16"/>
          <w:szCs w:val="16"/>
          <w:u w:val="single" w:color="0000EE"/>
          <w:lang w:val="en-US" w:eastAsia="en-US"/>
        </w:rPr>
        <w:t>tendawifi.com</w:t>
      </w:r>
      <w:r>
        <w:rPr>
          <w:rStyle w:val="DefaultParagraphFont"/>
          <w:rFonts w:ascii="Times New Roman" w:eastAsia="Times New Roman" w:hAnsi="Times New Roman" w:cs="Times New Roman"/>
          <w:color w:val="0000EE"/>
          <w:sz w:val="16"/>
          <w:szCs w:val="16"/>
          <w:u w:val="single" w:color="0000EE"/>
          <w:lang w:val="en-US" w:eastAsia="en-US"/>
        </w:rPr>
        <w:fldChar w:fldCharType="end"/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进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入管理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面。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2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.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根据操作向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导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完成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置。下文以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电脑设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置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例。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strike w:val="0"/>
          <w:u w:val="none"/>
        </w:rPr>
        <w:drawing>
          <wp:inline>
            <wp:extent cx="13906500" cy="6238875"/>
            <wp:docPr id="10000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905401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5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676275" cy="314325"/>
            <wp:docPr id="10000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673037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如果没有出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现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上述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面，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参考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常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见问题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解决。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6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②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情景一：您的网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络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无需任何配置就可以上网（如，已通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光猫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拨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号上网）。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6076950"/>
            <wp:docPr id="10000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380327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情景二：您的网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络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需要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输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宽带账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号和密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才能上网。</w:t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若您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记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得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宽带账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号和密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直接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输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入。</w:t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若您忘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记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宽带账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号和密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：点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击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从旧路由器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导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宽带账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号密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，然后根据提示操作。或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联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系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宽带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运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营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取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宽带账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号密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，然后手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动输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入。</w: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7934325"/>
            <wp:docPr id="10000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822997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③</w: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6267450"/>
            <wp:docPr id="10000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207518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7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676275" cy="314325"/>
            <wp:docPr id="10001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849786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• 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：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接路由器无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络时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所使用的密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管理密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：登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录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路由器管理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面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时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所使用的密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8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sz w:val="16"/>
          <w:szCs w:val="16"/>
          <w:u w:val="none"/>
        </w:rPr>
        <w:drawing>
          <wp:inline>
            <wp:extent cx="333375" cy="333375"/>
            <wp:docPr id="10001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265588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置完成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。指示灯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色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亮，表示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联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网成功。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14354175"/>
            <wp:docPr id="10001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615290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143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上网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：手机等无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线设备连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置的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名称，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输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入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即可。</w:t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上网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：用网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将有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线设备连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、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或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IPTV/3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口即可。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9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676275" cy="314325"/>
            <wp:docPr id="10001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193981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ar-SA" w:eastAsia="ar-SA"/>
        </w:rPr>
        <w:t>不能上网，</w:t>
      </w:r>
      <w:r>
        <w:rPr>
          <w:rStyle w:val="DefaultParagraphFont"/>
          <w:rFonts w:ascii="PMingLiU" w:eastAsia="PMingLiU" w:hAnsi="PMingLiU" w:cs="PMingLiU"/>
          <w:sz w:val="16"/>
          <w:szCs w:val="16"/>
          <w:lang w:val="ar-SA" w:eastAsia="ar-SA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参考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ar-SA" w:eastAsia="ar-SA"/>
        </w:rPr>
        <w:t>常</w:t>
      </w:r>
      <w:r>
        <w:rPr>
          <w:rStyle w:val="DefaultParagraphFont"/>
          <w:rFonts w:ascii="PMingLiU" w:eastAsia="PMingLiU" w:hAnsi="PMingLiU" w:cs="PMingLiU"/>
          <w:sz w:val="16"/>
          <w:szCs w:val="16"/>
          <w:lang w:val="ar-SA" w:eastAsia="ar-SA"/>
        </w:rPr>
        <w:t>见问题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解决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ar-SA" w:eastAsia="ar-SA"/>
        </w:rPr>
        <w:t>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0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方法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：通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过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Tenda WiFi App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置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Cambria Math" w:eastAsia="Cambria Math" w:hAnsi="Cambria Math" w:cs="Cambria Math"/>
          <w:sz w:val="16"/>
          <w:szCs w:val="16"/>
        </w:rPr>
        <w:t>①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扫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描以下二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维码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，或者在手机的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应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用市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或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App Store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中搜索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Tenda WiFi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，将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Tenda WiFi 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App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下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载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并安装到您的手机上。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1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  <w:lang w:val="ar-SA" w:eastAsia="ar-SA"/>
        </w:rPr>
        <w:drawing>
          <wp:inline>
            <wp:extent cx="676275" cy="314325"/>
            <wp:docPr id="10001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33463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ar-SA" w:eastAsia="ar-SA"/>
        </w:rPr>
        <w:t>若已安装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Tenda WiFi App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ar-SA" w:eastAsia="ar-SA"/>
        </w:rPr>
        <w:t>，</w:t>
      </w:r>
      <w:r>
        <w:rPr>
          <w:rStyle w:val="DefaultParagraphFont"/>
          <w:rFonts w:ascii="PMingLiU" w:eastAsia="PMingLiU" w:hAnsi="PMingLiU" w:cs="PMingLiU"/>
          <w:sz w:val="16"/>
          <w:szCs w:val="16"/>
          <w:lang w:val="ar-SA" w:eastAsia="ar-SA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ar-SA" w:eastAsia="ar-SA"/>
        </w:rPr>
        <w:t>确保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App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的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ar-SA" w:eastAsia="ar-SA"/>
        </w:rPr>
        <w:t>版本</w:t>
      </w:r>
      <w:r>
        <w:rPr>
          <w:rStyle w:val="DefaultParagraphFont"/>
          <w:rFonts w:ascii="PMingLiU" w:eastAsia="PMingLiU" w:hAnsi="PMingLiU" w:cs="PMingLiU"/>
          <w:sz w:val="16"/>
          <w:szCs w:val="16"/>
          <w:lang w:val="ar-SA" w:eastAsia="ar-SA"/>
        </w:rPr>
        <w:t>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ar-SA" w:eastAsia="ar-SA"/>
        </w:rPr>
        <w:t>最新。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2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7515225"/>
            <wp:docPr id="10002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087202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Cambria Math" w:eastAsia="Cambria Math" w:hAnsi="Cambria Math" w:cs="Cambria Math"/>
          <w:sz w:val="16"/>
          <w:szCs w:val="16"/>
        </w:rPr>
        <w:t>②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确保手机已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信息可以在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底面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贴纸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上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查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看。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Cambria Math" w:eastAsia="Cambria Math" w:hAnsi="Cambria Math" w:cs="Cambria Math"/>
          <w:sz w:val="16"/>
          <w:szCs w:val="16"/>
        </w:rPr>
        <w:t>③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打开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Tenda WiFi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 App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并按照界面操作向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导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将路由器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接到互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联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网。当路由器的指示灯呈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色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亮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即表示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联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网成功。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sz w:val="16"/>
          <w:szCs w:val="16"/>
          <w:u w:val="none"/>
        </w:rPr>
        <w:drawing>
          <wp:inline>
            <wp:extent cx="333375" cy="333375"/>
            <wp:docPr id="10002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147102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置完成。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 xml:space="preserve">• 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上网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：手机等无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线设备连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置的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名称，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输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入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即可。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 xml:space="preserve">• 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上网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：用网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将有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（如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电脑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、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或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IPTV/3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口即可。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3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  <w:lang w:val="ar-SA" w:eastAsia="ar-SA"/>
        </w:rPr>
        <w:drawing>
          <wp:inline>
            <wp:extent cx="676275" cy="314325"/>
            <wp:docPr id="10002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3281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•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ar-SA" w:eastAsia="ar-SA"/>
        </w:rPr>
        <w:t>若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App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不能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发现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路由器，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参考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常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见问题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解决。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•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不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ar-SA" w:eastAsia="ar-SA"/>
        </w:rPr>
        <w:t>能上网，</w:t>
      </w:r>
      <w:r>
        <w:rPr>
          <w:rStyle w:val="DefaultParagraphFont"/>
          <w:rFonts w:ascii="PMingLiU" w:eastAsia="PMingLiU" w:hAnsi="PMingLiU" w:cs="PMingLiU"/>
          <w:sz w:val="16"/>
          <w:szCs w:val="16"/>
          <w:lang w:val="ar-SA" w:eastAsia="ar-SA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参考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ar-SA" w:eastAsia="ar-SA"/>
        </w:rPr>
        <w:t>常</w:t>
      </w:r>
      <w:r>
        <w:rPr>
          <w:rStyle w:val="DefaultParagraphFont"/>
          <w:rFonts w:ascii="PMingLiU" w:eastAsia="PMingLiU" w:hAnsi="PMingLiU" w:cs="PMingLiU"/>
          <w:sz w:val="16"/>
          <w:szCs w:val="16"/>
          <w:lang w:val="ar-SA" w:eastAsia="ar-SA"/>
        </w:rPr>
        <w:t>见问题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解决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ar-SA" w:eastAsia="ar-SA"/>
        </w:rPr>
        <w:t>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4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3"/>
        <w:keepNext w:val="0"/>
        <w:shd w:val="clear" w:color="auto" w:fill="FFFFFF"/>
        <w:spacing w:before="281" w:after="281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Style w:val="DefaultParagraphFont"/>
          <w:rFonts w:ascii="Times New Roman" w:eastAsia="Times New Roman" w:hAnsi="Times New Roman" w:cs="Times New Roman"/>
          <w:sz w:val="28"/>
          <w:szCs w:val="28"/>
        </w:rPr>
        <w:t> </w:t>
      </w:r>
    </w:p>
    <w:p>
      <w:pPr>
        <w:pStyle w:val="Heading3"/>
        <w:keepNext w:val="0"/>
        <w:shd w:val="clear" w:color="auto" w:fill="FFFFFF"/>
        <w:spacing w:before="281" w:after="281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Style w:val="DefaultParagraphFont"/>
          <w:rFonts w:ascii="PMingLiU" w:eastAsia="PMingLiU" w:hAnsi="PMingLiU" w:cs="PMingLiU"/>
          <w:sz w:val="28"/>
          <w:szCs w:val="28"/>
        </w:rPr>
        <w:t>场</w:t>
      </w:r>
      <w:r>
        <w:rPr>
          <w:rStyle w:val="DefaultParagraphFont"/>
          <w:rFonts w:ascii="MS UI Gothic" w:eastAsia="MS UI Gothic" w:hAnsi="MS UI Gothic" w:cs="MS UI Gothic"/>
          <w:sz w:val="28"/>
          <w:szCs w:val="28"/>
        </w:rPr>
        <w:t>景二：</w:t>
      </w:r>
      <w:r>
        <w:rPr>
          <w:rStyle w:val="DefaultParagraphFont"/>
          <w:rFonts w:ascii="PMingLiU" w:eastAsia="PMingLiU" w:hAnsi="PMingLiU" w:cs="PMingLiU"/>
          <w:sz w:val="28"/>
          <w:szCs w:val="28"/>
        </w:rPr>
        <w:t>扩</w:t>
      </w:r>
      <w:r>
        <w:rPr>
          <w:rStyle w:val="DefaultParagraphFont"/>
          <w:rFonts w:ascii="MS UI Gothic" w:eastAsia="MS UI Gothic" w:hAnsi="MS UI Gothic" w:cs="MS UI Gothic"/>
          <w:sz w:val="28"/>
          <w:szCs w:val="28"/>
        </w:rPr>
        <w:t>展已有路由器的</w:t>
      </w:r>
      <w:r>
        <w:rPr>
          <w:rStyle w:val="DefaultParagraphFont"/>
          <w:rFonts w:ascii="Times New Roman" w:eastAsia="Times New Roman" w:hAnsi="Times New Roman" w:cs="Times New Roman"/>
          <w:sz w:val="28"/>
          <w:szCs w:val="28"/>
          <w:lang w:val="en-US" w:eastAsia="en-US"/>
        </w:rPr>
        <w:t>Wi-Fi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5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strike w:val="0"/>
          <w:u w:val="none"/>
        </w:rPr>
        <w:drawing>
          <wp:inline>
            <wp:extent cx="790575" cy="371475"/>
            <wp:docPr id="10002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099502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 xml:space="preserve">• </w:t>
      </w:r>
      <w:r>
        <w:rPr>
          <w:rStyle w:val="DefaultParagraphFont"/>
          <w:rFonts w:ascii="PMingLiU" w:eastAsia="PMingLiU" w:hAnsi="PMingLiU" w:cs="PMingLiU"/>
          <w:sz w:val="16"/>
          <w:szCs w:val="16"/>
          <w:lang w:val="ar-SA" w:eastAsia="ar-SA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ar-SA" w:eastAsia="ar-SA"/>
        </w:rPr>
        <w:t>确保原路由器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（主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节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点）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ar-SA" w:eastAsia="ar-SA"/>
        </w:rPr>
        <w:t>已成功</w:t>
      </w:r>
      <w:r>
        <w:rPr>
          <w:rStyle w:val="DefaultParagraphFont"/>
          <w:rFonts w:ascii="PMingLiU" w:eastAsia="PMingLiU" w:hAnsi="PMingLiU" w:cs="PMingLiU"/>
          <w:sz w:val="16"/>
          <w:szCs w:val="16"/>
          <w:lang w:val="ar-SA" w:eastAsia="ar-SA"/>
        </w:rPr>
        <w:t>联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ar-SA" w:eastAsia="ar-SA"/>
        </w:rPr>
        <w:t>网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，新增路由器（子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节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点）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处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于出厂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置状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ar-SA" w:eastAsia="ar-SA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下文以两台型号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为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AX12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的路由器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组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例，若此路由器加入已有网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络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失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败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请联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系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Tenda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技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术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支持确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认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此型号路由器的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Mesh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组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网兼容情况。</w:t>
      </w:r>
    </w:p>
    <w:p>
      <w:pPr>
        <w:shd w:val="clear" w:color="auto" w:fill="FFFFFF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pict>
          <v:rect id="_x0000_i1036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步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骤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：加入已有网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络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Cambria Math" w:eastAsia="Cambria Math" w:hAnsi="Cambria Math" w:cs="Cambria Math"/>
          <w:sz w:val="16"/>
          <w:szCs w:val="16"/>
        </w:rPr>
        <w:t>①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将新增路由器放在原路由器的附近（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1~3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米）并通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Cambria Math" w:eastAsia="Cambria Math" w:hAnsi="Cambria Math" w:cs="Cambria Math"/>
          <w:sz w:val="16"/>
          <w:szCs w:val="16"/>
        </w:rPr>
        <w:t>②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按一下原路由器的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WPS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钮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（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1~3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秒）。指示灯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色快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闪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Cambria Math" w:eastAsia="Cambria Math" w:hAnsi="Cambria Math" w:cs="Cambria Math"/>
          <w:sz w:val="16"/>
          <w:szCs w:val="16"/>
        </w:rPr>
        <w:t>③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钟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内，按一下新增路由器的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WPS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钮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（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1~3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秒）。指示灯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色快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闪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Cambria Math" w:eastAsia="Cambria Math" w:hAnsi="Cambria Math" w:cs="Cambria Math"/>
          <w:sz w:val="16"/>
          <w:szCs w:val="16"/>
        </w:rPr>
        <w:t>④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观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察新增路由器的指示灯，当它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变为绿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色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亮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时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，表示已成功加入已有网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络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步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骤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：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为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新增路由器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选择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合适的位置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Cambria Math" w:eastAsia="Cambria Math" w:hAnsi="Cambria Math" w:cs="Cambria Math"/>
          <w:sz w:val="16"/>
          <w:szCs w:val="16"/>
          <w:lang w:val="en-US" w:eastAsia="en-US"/>
        </w:rPr>
        <w:t>①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 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为获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得更好的上网体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验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参考以下建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议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将新增路由器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摆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放在合适位置。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放在原路由器的无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覆盖范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围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内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• 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远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离微波炉、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磁炉、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冰箱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• 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距离地面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较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高且周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围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遮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挡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物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较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少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Cambria Math" w:eastAsia="Cambria Math" w:hAnsi="Cambria Math" w:cs="Cambria Math"/>
          <w:sz w:val="16"/>
          <w:szCs w:val="16"/>
          <w:lang w:val="en-US" w:eastAsia="en-US"/>
        </w:rPr>
        <w:t>②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 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给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新增路由器通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Cambria Math" w:eastAsia="Cambria Math" w:hAnsi="Cambria Math" w:cs="Cambria Math"/>
          <w:sz w:val="16"/>
          <w:szCs w:val="16"/>
          <w:lang w:val="en-US" w:eastAsia="en-US"/>
        </w:rPr>
        <w:t>③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1~2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钟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后，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观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察新增路由器指示灯，若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为绿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色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亮，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则组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质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量佳，所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选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位置合适。否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则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，建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议调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整新增路由器位置，使其更靠近原路由器，以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得更好的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组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质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量。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sz w:val="16"/>
          <w:szCs w:val="16"/>
          <w:u w:val="none"/>
        </w:rPr>
        <w:drawing>
          <wp:inline>
            <wp:extent cx="333375" cy="333375"/>
            <wp:docPr id="10002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144806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扩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展成功。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上网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：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络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即可（新增路由器的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名称、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与原路由器相同）。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上网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：用网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将有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（如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电脑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接到到任一路由器的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、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或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IPTV/3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口即可。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如果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还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有路由器需要加入到本无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络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重复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景二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的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骤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到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骤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CQIG450"/>
      <w:bookmarkEnd w:id="2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指示灯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按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钮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接口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说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明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通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后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约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40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秒，系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统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启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动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完成。之后，指示灯状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态说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明如下表。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7362825"/>
            <wp:docPr id="10003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630200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0829925"/>
            <wp:docPr id="10003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494103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082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7362825"/>
            <wp:docPr id="10003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762672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2954000"/>
            <wp:docPr id="10003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416155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29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CQIG451"/>
      <w:bookmarkEnd w:id="3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安全信息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在使用和操作本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前，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请阅读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并遵守以下注意事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项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，以确保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性能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稳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定，并避免出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现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危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险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或非法情况。</w:t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•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勿在禁止使用无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的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所使用本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•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如果采用桌面安装，需将本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正面朝上水平放置于足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够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大且干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净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平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稳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的桌面上。</w:t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•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如果采用壁挂安装，需自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胀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螺管和螺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钉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。推荐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规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格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——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胀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螺管：高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6.6mm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，内径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2.4mm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度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26.4mm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；螺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钉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：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PA3*14mm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头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径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5.2mm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•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工作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环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0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℃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~40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℃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10~90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）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%RH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，无凝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结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•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存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储环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-40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℃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~70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℃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5~90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）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%RH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，无凝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结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•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使用包装配套的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源适配器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给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本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供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•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源插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头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作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断开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源的装置，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源插座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应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安装在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附近并易于触及。</w:t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•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确保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设备远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离水、火、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强电场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、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磁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、易燃易爆物品。</w:t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•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雷雨天气或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期不用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时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拔下本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源及所有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线缆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•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源插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头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或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源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已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损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坏，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勿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继续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使用。</w:t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•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出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现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冒烟、异响、有异味等异常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现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象，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立刻停止使用并断开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源，拔出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上的所有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线缆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，并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联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系售后。</w:t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•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勿擅自拆卸或改装本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及配件，否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则该设备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及配件将不予保修，也可能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发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生危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险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 w:rsidR="00A77B3E"/>
    <w:sectPr>
      <w:pgSz w:w="11906" w:h="16838"/>
      <w:pgMar w:top="1200" w:right="200" w:bottom="1600" w:left="400" w:header="0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