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置上网方法、指示灯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及安全信息，若要了解更多功能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296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4435756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226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443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297"/>
      <w:bookmarkEnd w:id="1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第一步：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连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8259425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0546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82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298"/>
      <w:bookmarkEnd w:id="2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第二步：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3598DB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接到路由器的手机或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上，打开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192.168.0.1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971675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9356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若没有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入路由器管理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面，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3598DB"/>
        </w:rPr>
        <w:t> 2.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路由器会自</w:t>
      </w:r>
      <w:r>
        <w:rPr>
          <w:rStyle w:val="DefaultParagraphFont"/>
          <w:rFonts w:ascii="PMingLiU" w:eastAsia="PMingLiU" w:hAnsi="PMingLiU" w:cs="PMingLiU"/>
        </w:rPr>
        <w:t>动检测</w:t>
      </w:r>
      <w:r>
        <w:rPr>
          <w:rStyle w:val="DefaultParagraphFont"/>
          <w:rFonts w:ascii="MS UI Gothic" w:eastAsia="MS UI Gothic" w:hAnsi="MS UI Gothic" w:cs="MS UI Gothic"/>
        </w:rPr>
        <w:t>您的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网方式。此</w:t>
      </w:r>
      <w:r>
        <w:rPr>
          <w:rStyle w:val="DefaultParagraphFont"/>
          <w:rFonts w:ascii="PMingLiU" w:eastAsia="PMingLiU" w:hAnsi="PMingLiU" w:cs="PMingLiU"/>
        </w:rPr>
        <w:t>处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PMingLiU" w:eastAsia="PMingLiU" w:hAnsi="PMingLiU" w:cs="PMingLiU"/>
          <w:b/>
          <w:bCs/>
        </w:rPr>
        <w:t>宽带拨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号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  <w:r>
        <w:rPr>
          <w:rStyle w:val="DefaultParagraphFont"/>
          <w:rFonts w:ascii="Times New Roman" w:eastAsia="Times New Roman" w:hAnsi="Times New Roman" w:cs="Times New Roman"/>
        </w:rPr>
        <w:t>.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网方式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PMingLiU" w:eastAsia="PMingLiU" w:hAnsi="PMingLiU" w:cs="PMingLiU"/>
          <w:b/>
          <w:bCs/>
        </w:rPr>
        <w:t>宽带拨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号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  <w:b/>
          <w:bCs/>
        </w:rPr>
        <w:t>宽带账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号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PMingLiU" w:eastAsia="PMingLiU" w:hAnsi="PMingLiU" w:cs="PMingLiU"/>
          <w:b/>
          <w:bCs/>
        </w:rPr>
        <w:t>宽带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②</w:t>
      </w:r>
      <w:r>
        <w:rPr>
          <w:rStyle w:val="DefaultParagraphFont"/>
          <w:rFonts w:ascii="Times New Roman" w:eastAsia="Times New Roman" w:hAnsi="Times New Roman" w:cs="Times New Roman"/>
        </w:rPr>
        <w:t>.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名称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③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1172825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11763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117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</w:rPr>
        <w:t> 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置完成。</w:t>
      </w:r>
    </w:p>
    <w:p>
      <w:pPr>
        <w:numPr>
          <w:ilvl w:val="0"/>
          <w:numId w:val="1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即可。</w:t>
      </w:r>
    </w:p>
    <w:p>
      <w:pPr>
        <w:numPr>
          <w:ilvl w:val="0"/>
          <w:numId w:val="1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（如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口（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3</w:t>
      </w:r>
      <w:r>
        <w:rPr>
          <w:rStyle w:val="DefaultParagraphFont"/>
          <w:rFonts w:ascii="MS UI Gothic" w:eastAsia="MS UI Gothic" w:hAnsi="MS UI Gothic" w:cs="MS UI Gothic"/>
        </w:rPr>
        <w:t>）即可。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若不能上网，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CQIG299"/>
      <w:bookmarkEnd w:id="3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指示灯、接口、按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0116800" cy="15352295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17212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53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soNormalTable"/>
        <w:tblW w:w="4000" w:type="pct"/>
        <w:tblCellSpacing w:w="0" w:type="dxa"/>
        <w:tblInd w:w="323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shd w:val="clear" w:color="auto" w:fill="FFFFFF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1695"/>
        <w:gridCol w:w="1409"/>
        <w:gridCol w:w="5653"/>
      </w:tblGrid>
      <w:tr>
        <w:tblPrEx>
          <w:tblW w:w="4000" w:type="pct"/>
          <w:tblCellSpacing w:w="0" w:type="dxa"/>
          <w:tblInd w:w="323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632"/>
          <w:tblCellSpacing w:w="0" w:type="dxa"/>
        </w:trPr>
        <w:tc>
          <w:tcPr>
            <w:tcW w:w="4093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FFFFFF"/>
            </w:tcBorders>
            <w:shd w:val="clear" w:color="auto" w:fill="D9D9D9"/>
            <w:noWrap w:val="0"/>
            <w:tcMar>
              <w:top w:w="1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D9D9D9"/>
              <w:spacing w:before="156" w:after="156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指示灯</w:t>
            </w:r>
          </w:p>
        </w:tc>
        <w:tc>
          <w:tcPr>
            <w:tcW w:w="3386" w:type="dxa"/>
            <w:tcBorders>
              <w:top w:val="single" w:sz="8" w:space="0" w:color="D9D9D9"/>
              <w:bottom w:val="single" w:sz="8" w:space="0" w:color="D9D9D9"/>
              <w:right w:val="single" w:sz="8" w:space="0" w:color="FFFFFF"/>
            </w:tcBorders>
            <w:shd w:val="clear" w:color="auto" w:fill="D9D9D9"/>
            <w:noWrap w:val="0"/>
            <w:tcMar>
              <w:top w:w="1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D9D9D9"/>
              <w:spacing w:before="156" w:after="156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状态</w:t>
            </w:r>
          </w:p>
        </w:tc>
        <w:tc>
          <w:tcPr>
            <w:tcW w:w="5427" w:type="dxa"/>
            <w:tcBorders>
              <w:top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D9D9D9"/>
            <w:noWrap w:val="0"/>
            <w:tcMar>
              <w:top w:w="1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D9D9D9"/>
              <w:spacing w:before="156" w:after="156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说明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548"/>
          <w:tblCellSpacing w:w="0" w:type="dxa"/>
        </w:trPr>
        <w:tc>
          <w:tcPr>
            <w:tcW w:w="4093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Courier New" w:eastAsia="Courier New" w:hAnsi="Courier New" w:cs="Courier New"/>
                <w:b/>
                <w:bCs/>
                <w:i w:val="0"/>
                <w:iCs w:val="0"/>
                <w:smallCaps w:val="0"/>
                <w:color w:val="000000"/>
                <w:lang w:val="en-US" w:eastAsia="en-US"/>
              </w:rPr>
              <w:t>SYS</w:t>
            </w:r>
          </w:p>
        </w:tc>
        <w:tc>
          <w:tcPr>
            <w:tcW w:w="338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  <w:t>闪烁</w:t>
            </w:r>
          </w:p>
        </w:tc>
        <w:tc>
          <w:tcPr>
            <w:tcW w:w="542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  <w:t>系统工作正常。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548"/>
          <w:tblCellSpacing w:w="0" w:type="dxa"/>
        </w:trPr>
        <w:tc>
          <w:tcPr>
            <w:tcW w:w="4093" w:type="dxa"/>
            <w:vMerge w:val="restart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WiFi</w:t>
            </w:r>
          </w:p>
        </w:tc>
        <w:tc>
          <w:tcPr>
            <w:tcW w:w="338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  <w:t>常亮</w:t>
            </w:r>
          </w:p>
        </w:tc>
        <w:tc>
          <w:tcPr>
            <w:tcW w:w="542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  <w:t>无线功能已开启。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548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tcW w:w="338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  <w:t>闪烁</w:t>
            </w:r>
          </w:p>
        </w:tc>
        <w:tc>
          <w:tcPr>
            <w:tcW w:w="542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  <w:t>无线正在传输数据。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548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tcW w:w="338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  <w:t>熄灭</w:t>
            </w:r>
          </w:p>
        </w:tc>
        <w:tc>
          <w:tcPr>
            <w:tcW w:w="542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  <w:t>无线功能已关闭。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548"/>
          <w:tblCellSpacing w:w="0" w:type="dxa"/>
        </w:trPr>
        <w:tc>
          <w:tcPr>
            <w:tcW w:w="4093" w:type="dxa"/>
            <w:vMerge w:val="restart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1/2/3/WAN</w:t>
            </w:r>
          </w:p>
        </w:tc>
        <w:tc>
          <w:tcPr>
            <w:tcW w:w="338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  <w:t>常亮</w:t>
            </w:r>
          </w:p>
        </w:tc>
        <w:tc>
          <w:tcPr>
            <w:tcW w:w="542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  <w:t>对应接口连接正常。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548"/>
          <w:tblCellSpacing w:w="0" w:type="dxa"/>
        </w:trPr>
        <w:tc>
          <w:tcPr>
            <w:vMerge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vAlign w:val="center"/>
          </w:tcPr>
          <w:p>
            <w:pP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tcW w:w="3386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  <w:t>闪烁</w:t>
            </w:r>
          </w:p>
        </w:tc>
        <w:tc>
          <w:tcPr>
            <w:tcW w:w="5427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  <w:t>对应接口正在传输数据。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548"/>
          <w:tblCellSpacing w:w="0" w:type="dxa"/>
        </w:trPr>
        <w:tc>
          <w:tcPr>
            <w:tcW w:w="4093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T</w:t>
            </w:r>
          </w:p>
        </w:tc>
        <w:tc>
          <w:tcPr>
            <w:tcW w:w="8587" w:type="dxa"/>
            <w:gridSpan w:val="2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spacing w:before="156" w:after="72"/>
              <w:ind w:left="0" w:right="0"/>
              <w:rPr>
                <w:rStyle w:val="DefaultParagraphFont"/>
                <w:rFonts w:ascii="Courier New" w:eastAsia="Courier New" w:hAnsi="Courier New" w:cs="Courier New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b w:val="0"/>
                <w:bCs w:val="0"/>
                <w:i w:val="0"/>
                <w:iCs w:val="0"/>
                <w:smallCaps w:val="0"/>
                <w:color w:val="000000"/>
              </w:rPr>
              <w:t>待扩展。</w:t>
            </w:r>
          </w:p>
        </w:tc>
      </w:tr>
    </w:tbl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5478947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02737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54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soNormalTable"/>
        <w:tblW w:w="4000" w:type="pct"/>
        <w:tblCellSpacing w:w="0" w:type="dxa"/>
        <w:tblInd w:w="323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shd w:val="clear" w:color="auto" w:fill="FFFFFF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849"/>
        <w:gridCol w:w="7907"/>
      </w:tblGrid>
      <w:tr>
        <w:tblPrEx>
          <w:tblW w:w="4000" w:type="pct"/>
          <w:tblCellSpacing w:w="0" w:type="dxa"/>
          <w:tblInd w:w="323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558"/>
          <w:tblCellSpacing w:w="0" w:type="dxa"/>
        </w:trPr>
        <w:tc>
          <w:tcPr>
            <w:tcW w:w="480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FFFFFF"/>
            </w:tcBorders>
            <w:shd w:val="clear" w:color="auto" w:fill="D9D9D9"/>
            <w:noWrap w:val="0"/>
            <w:tcMar>
              <w:top w:w="1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D9D9D9"/>
              <w:spacing w:before="0" w:after="319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按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钮</w:t>
            </w:r>
          </w:p>
        </w:tc>
        <w:tc>
          <w:tcPr>
            <w:tcW w:w="8514" w:type="dxa"/>
            <w:tcBorders>
              <w:top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D9D9D9"/>
            <w:noWrap w:val="0"/>
            <w:tcMar>
              <w:top w:w="1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D9D9D9"/>
              <w:spacing w:before="0" w:after="319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说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明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414"/>
          <w:tblCellSpacing w:w="0" w:type="dxa"/>
        </w:trPr>
        <w:tc>
          <w:tcPr>
            <w:tcW w:w="4806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WAN</w:t>
            </w:r>
          </w:p>
        </w:tc>
        <w:tc>
          <w:tcPr>
            <w:tcW w:w="8514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外网接口。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连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接外网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，外网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可能是从光猫、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ADSL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猫、有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线电视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猫接出来的网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，或互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联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网服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务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提供商直接提供的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宽带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网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115"/>
          <w:tblCellSpacing w:w="0" w:type="dxa"/>
        </w:trPr>
        <w:tc>
          <w:tcPr>
            <w:tcW w:w="4806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1/2/3</w:t>
            </w:r>
          </w:p>
        </w:tc>
        <w:tc>
          <w:tcPr>
            <w:tcW w:w="8514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LAN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口（内网接口）。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连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接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电脑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、交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换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机、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AP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等。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414"/>
          <w:tblCellSpacing w:w="0" w:type="dxa"/>
        </w:trPr>
        <w:tc>
          <w:tcPr>
            <w:tcW w:w="4806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WiFi</w:t>
            </w:r>
          </w:p>
        </w:tc>
        <w:tc>
          <w:tcPr>
            <w:tcW w:w="8514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系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统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正常工作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时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，按一下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该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按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钮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，即可关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闭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/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开启路由器的无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信号。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414"/>
          <w:tblCellSpacing w:w="0" w:type="dxa"/>
        </w:trPr>
        <w:tc>
          <w:tcPr>
            <w:tcW w:w="4806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RST</w:t>
            </w:r>
          </w:p>
        </w:tc>
        <w:tc>
          <w:tcPr>
            <w:tcW w:w="8514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系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统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正常工作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时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，按住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该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按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钮约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8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秒后松开，路由器的指示灯全部亮起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时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，路由器配置将恢复出厂状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态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cantSplit/>
          <w:trHeight w:val="414"/>
          <w:tblCellSpacing w:w="0" w:type="dxa"/>
        </w:trPr>
        <w:tc>
          <w:tcPr>
            <w:tcW w:w="4806" w:type="dxa"/>
            <w:tcBorders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PWR</w:t>
            </w:r>
          </w:p>
        </w:tc>
        <w:tc>
          <w:tcPr>
            <w:tcW w:w="8514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电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源接口。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br/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br/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请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使用包装盒内的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电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源适配器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给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路由器通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电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。</w:t>
            </w:r>
          </w:p>
        </w:tc>
      </w:tr>
    </w:tbl>
    <w:p>
      <w:pPr>
        <w:pStyle w:val="MsoNormal"/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307"/>
      <w:bookmarkEnd w:id="4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</w:p>
    <w:p>
      <w:pPr>
        <w:numPr>
          <w:ilvl w:val="0"/>
          <w:numId w:val="2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2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采用桌面安装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，需将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放置于平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的表面。</w:t>
      </w:r>
    </w:p>
    <w:p>
      <w:pPr>
        <w:numPr>
          <w:ilvl w:val="0"/>
          <w:numId w:val="2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0℃~40℃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2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</w:rPr>
        <w:t>-40℃~70℃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2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源适配器。</w:t>
      </w:r>
    </w:p>
    <w:p>
      <w:pPr>
        <w:numPr>
          <w:ilvl w:val="0"/>
          <w:numId w:val="2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源的装置。</w:t>
      </w:r>
    </w:p>
    <w:p>
      <w:pPr>
        <w:numPr>
          <w:ilvl w:val="0"/>
          <w:numId w:val="2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附近并易于触及。</w:t>
      </w:r>
    </w:p>
    <w:p>
      <w:pPr>
        <w:numPr>
          <w:ilvl w:val="0"/>
          <w:numId w:val="2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</w:p>
    <w:p>
      <w:pPr>
        <w:numPr>
          <w:ilvl w:val="0"/>
          <w:numId w:val="2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雷雨天气或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2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</w:p>
    <w:p>
      <w:pPr>
        <w:numPr>
          <w:ilvl w:val="0"/>
          <w:numId w:val="2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</w:p>
    <w:p>
      <w:pPr>
        <w:numPr>
          <w:ilvl w:val="0"/>
          <w:numId w:val="2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19100" cy="419100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8230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仅</w:t>
      </w:r>
      <w:r>
        <w:rPr>
          <w:rStyle w:val="DefaultParagraphFont"/>
          <w:rFonts w:ascii="MS UI Gothic" w:eastAsia="MS UI Gothic" w:hAnsi="MS UI Gothic" w:cs="MS UI Gothic"/>
        </w:rPr>
        <w:t>适用于海拔</w:t>
      </w:r>
      <w:r>
        <w:rPr>
          <w:rStyle w:val="DefaultParagraphFont"/>
          <w:rFonts w:ascii="Times New Roman" w:eastAsia="Times New Roman" w:hAnsi="Times New Roman" w:cs="Times New Roman"/>
        </w:rPr>
        <w:t>2000m</w:t>
      </w:r>
      <w:r>
        <w:rPr>
          <w:rStyle w:val="DefaultParagraphFont"/>
          <w:rFonts w:ascii="MS UI Gothic" w:eastAsia="MS UI Gothic" w:hAnsi="MS UI Gothic" w:cs="MS UI Gothic"/>
        </w:rPr>
        <w:t>以下地区安全使用。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419100" cy="419100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4011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MS UI Gothic" w:eastAsia="MS UI Gothic" w:hAnsi="MS UI Gothic" w:cs="MS UI Gothic"/>
        </w:rPr>
        <w:t>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仅</w:t>
      </w:r>
      <w:r>
        <w:rPr>
          <w:rStyle w:val="DefaultParagraphFont"/>
          <w:rFonts w:ascii="MS UI Gothic" w:eastAsia="MS UI Gothic" w:hAnsi="MS UI Gothic" w:cs="MS UI Gothic"/>
        </w:rPr>
        <w:t>适用于非</w:t>
      </w:r>
      <w:r>
        <w:rPr>
          <w:rStyle w:val="DefaultParagraphFont"/>
          <w:rFonts w:ascii="PMingLiU" w:eastAsia="PMingLiU" w:hAnsi="PMingLiU" w:cs="PMingLiU"/>
        </w:rPr>
        <w:t>热带</w:t>
      </w:r>
      <w:r>
        <w:rPr>
          <w:rStyle w:val="DefaultParagraphFont"/>
          <w:rFonts w:ascii="MS UI Gothic" w:eastAsia="MS UI Gothic" w:hAnsi="MS UI Gothic" w:cs="MS UI Gothic"/>
        </w:rPr>
        <w:t>气候条件下安全使用。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  <w:style w:type="character" w:customStyle="1" w:styleId="iconfonticon-shezhiwancheng">
    <w:name w:val="iconfont icon-shezhiwancheng"/>
    <w:basedOn w:val="DefaultParagraphFont"/>
  </w:style>
  <w:style w:type="table" w:customStyle="1" w:styleId="MsoNormalTable">
    <w:name w:val="MsoNormalTable"/>
    <w:basedOn w:val="TableNormal"/>
    <w:tblPr/>
  </w:style>
  <w:style w:type="paragraph" w:customStyle="1" w:styleId="MsoNormal">
    <w:name w:val="MsoNormal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