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2.0.0 -->
  <w:body>
    <w:p>
      <w:pPr>
        <w:pStyle w:val="Heading1"/>
        <w:keepNext w:val="0"/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322" w:after="322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Style w:val="DefaultParagraphFont"/>
          <w:rFonts w:ascii="Times New Roman" w:eastAsia="Times New Roman" w:hAnsi="Times New Roman" w:cs="Times New Roman"/>
          <w:kern w:val="36"/>
          <w:sz w:val="48"/>
          <w:szCs w:val="48"/>
        </w:rPr>
        <w:t xml:space="preserve">AX2 Pro V1.0 </w:t>
      </w:r>
      <w:r>
        <w:rPr>
          <w:rStyle w:val="DefaultParagraphFont"/>
          <w:rFonts w:ascii="MS UI Gothic" w:eastAsia="MS UI Gothic" w:hAnsi="MS UI Gothic" w:cs="MS UI Gothic"/>
          <w:kern w:val="36"/>
          <w:sz w:val="48"/>
          <w:szCs w:val="48"/>
        </w:rPr>
        <w:t>安装指南</w:t>
      </w:r>
    </w:p>
    <w:p>
      <w:pPr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75" w:after="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本指南主要介</w:t>
      </w:r>
      <w:r>
        <w:rPr>
          <w:rStyle w:val="DefaultParagraphFont"/>
          <w:rFonts w:ascii="PMingLiU" w:eastAsia="PMingLiU" w:hAnsi="PMingLiU" w:cs="PMingLiU"/>
        </w:rPr>
        <w:t>绍设备</w:t>
      </w:r>
      <w:r>
        <w:rPr>
          <w:rStyle w:val="DefaultParagraphFont"/>
          <w:rFonts w:ascii="MS UI Gothic" w:eastAsia="MS UI Gothic" w:hAnsi="MS UI Gothic" w:cs="MS UI Gothic"/>
        </w:rPr>
        <w:t>包装清</w:t>
      </w:r>
      <w:r>
        <w:rPr>
          <w:rStyle w:val="DefaultParagraphFont"/>
          <w:rFonts w:ascii="PMingLiU" w:eastAsia="PMingLiU" w:hAnsi="PMingLiU" w:cs="PMingLiU"/>
        </w:rPr>
        <w:t>单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连线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置上网方法、指示灯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接口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按</w:t>
      </w:r>
      <w:r>
        <w:rPr>
          <w:rStyle w:val="DefaultParagraphFont"/>
          <w:rFonts w:ascii="PMingLiU" w:eastAsia="PMingLiU" w:hAnsi="PMingLiU" w:cs="PMingLiU"/>
        </w:rPr>
        <w:t>钮说</w:t>
      </w:r>
      <w:r>
        <w:rPr>
          <w:rStyle w:val="DefaultParagraphFont"/>
          <w:rFonts w:ascii="MS UI Gothic" w:eastAsia="MS UI Gothic" w:hAnsi="MS UI Gothic" w:cs="MS UI Gothic"/>
        </w:rPr>
        <w:t>明、常</w:t>
      </w:r>
      <w:r>
        <w:rPr>
          <w:rStyle w:val="DefaultParagraphFont"/>
          <w:rFonts w:ascii="PMingLiU" w:eastAsia="PMingLiU" w:hAnsi="PMingLiU" w:cs="PMingLiU"/>
        </w:rPr>
        <w:t>见问题</w:t>
      </w:r>
      <w:r>
        <w:rPr>
          <w:rStyle w:val="DefaultParagraphFont"/>
          <w:rFonts w:ascii="MS UI Gothic" w:eastAsia="MS UI Gothic" w:hAnsi="MS UI Gothic" w:cs="MS UI Gothic"/>
        </w:rPr>
        <w:t>及安全信息，若要了解更多功能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置，</w:t>
      </w:r>
      <w:r>
        <w:rPr>
          <w:rStyle w:val="DefaultParagraphFont"/>
          <w:rFonts w:ascii="PMingLiU" w:eastAsia="PMingLiU" w:hAnsi="PMingLiU" w:cs="PMingLiU"/>
        </w:rPr>
        <w:t>请查</w:t>
      </w:r>
      <w:r>
        <w:rPr>
          <w:rStyle w:val="DefaultParagraphFont"/>
          <w:rFonts w:ascii="MS UI Gothic" w:eastAsia="MS UI Gothic" w:hAnsi="MS UI Gothic" w:cs="MS UI Gothic"/>
        </w:rPr>
        <w:t>看</w:t>
      </w:r>
      <w:r>
        <w:rPr>
          <w:rStyle w:val="DefaultParagraphFont"/>
          <w:rFonts w:ascii="PMingLiU" w:eastAsia="PMingLiU" w:hAnsi="PMingLiU" w:cs="PMingLiU"/>
        </w:rPr>
        <w:t>产</w:t>
      </w:r>
      <w:r>
        <w:rPr>
          <w:rStyle w:val="DefaultParagraphFont"/>
          <w:rFonts w:ascii="MS UI Gothic" w:eastAsia="MS UI Gothic" w:hAnsi="MS UI Gothic" w:cs="MS UI Gothic"/>
        </w:rPr>
        <w:t>品使用</w:t>
      </w:r>
      <w:r>
        <w:rPr>
          <w:rStyle w:val="DefaultParagraphFont"/>
          <w:rFonts w:ascii="PMingLiU" w:eastAsia="PMingLiU" w:hAnsi="PMingLiU" w:cs="PMingLiU"/>
        </w:rPr>
        <w:t>说</w:t>
      </w:r>
      <w:r>
        <w:rPr>
          <w:rStyle w:val="DefaultParagraphFont"/>
          <w:rFonts w:ascii="MS UI Gothic" w:eastAsia="MS UI Gothic" w:hAnsi="MS UI Gothic" w:cs="MS UI Gothic"/>
        </w:rPr>
        <w:t>明</w:t>
      </w:r>
      <w:r>
        <w:rPr>
          <w:rStyle w:val="DefaultParagraphFont"/>
          <w:rFonts w:ascii="PMingLiU" w:eastAsia="PMingLiU" w:hAnsi="PMingLiU" w:cs="PMingLiU"/>
        </w:rPr>
        <w:t>书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配置指南）。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CQIG60"/>
      <w:bookmarkEnd w:id="0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包装清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单</w:t>
      </w:r>
    </w:p>
    <w:p>
      <w:pPr>
        <w:shd w:val="clear" w:color="auto" w:fill="FFFFFF"/>
        <w:spacing w:after="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7179310" cy="2900441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31921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79310" cy="290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CQIG61"/>
      <w:bookmarkEnd w:id="1"/>
      <w:r>
        <w:rPr>
          <w:rStyle w:val="DefaultParagraphFont"/>
          <w:rFonts w:ascii="PMingLiU" w:eastAsia="PMingLiU" w:hAnsi="PMingLiU" w:cs="PMingLiU"/>
          <w:sz w:val="24"/>
          <w:szCs w:val="24"/>
        </w:rPr>
        <w:t>连线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7179310" cy="8019289"/>
            <wp:docPr id="10000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516835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79310" cy="801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了更好的上网体</w:t>
      </w:r>
      <w:r>
        <w:rPr>
          <w:rStyle w:val="DefaultParagraphFont"/>
          <w:rFonts w:ascii="PMingLiU" w:eastAsia="PMingLiU" w:hAnsi="PMingLiU" w:cs="PMingLiU"/>
        </w:rPr>
        <w:t>验</w:t>
      </w:r>
      <w:r>
        <w:rPr>
          <w:rStyle w:val="DefaultParagraphFont"/>
          <w:rFonts w:ascii="MS UI Gothic" w:eastAsia="MS UI Gothic" w:hAnsi="MS UI Gothic" w:cs="MS UI Gothic"/>
        </w:rPr>
        <w:t>，建</w:t>
      </w:r>
      <w:r>
        <w:rPr>
          <w:rStyle w:val="DefaultParagraphFont"/>
          <w:rFonts w:ascii="PMingLiU" w:eastAsia="PMingLiU" w:hAnsi="PMingLiU" w:cs="PMingLiU"/>
        </w:rPr>
        <w:t>议</w:t>
      </w:r>
      <w:r>
        <w:rPr>
          <w:rStyle w:val="DefaultParagraphFont"/>
          <w:rFonts w:ascii="MS UI Gothic" w:eastAsia="MS UI Gothic" w:hAnsi="MS UI Gothic" w:cs="MS UI Gothic"/>
        </w:rPr>
        <w:t>：</w:t>
      </w:r>
    </w:p>
    <w:p>
      <w:pPr>
        <w:numPr>
          <w:ilvl w:val="0"/>
          <w:numId w:val="1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将路由器放置在</w:t>
      </w:r>
      <w:r>
        <w:rPr>
          <w:rStyle w:val="DefaultParagraphFont"/>
          <w:rFonts w:ascii="PMingLiU" w:eastAsia="PMingLiU" w:hAnsi="PMingLiU" w:cs="PMingLiU"/>
        </w:rPr>
        <w:t>较</w:t>
      </w:r>
      <w:r>
        <w:rPr>
          <w:rStyle w:val="DefaultParagraphFont"/>
          <w:rFonts w:ascii="MS UI Gothic" w:eastAsia="MS UI Gothic" w:hAnsi="MS UI Gothic" w:cs="MS UI Gothic"/>
        </w:rPr>
        <w:t>高且通</w:t>
      </w:r>
      <w:r>
        <w:rPr>
          <w:rStyle w:val="DefaultParagraphFont"/>
          <w:rFonts w:ascii="PMingLiU" w:eastAsia="PMingLiU" w:hAnsi="PMingLiU" w:cs="PMingLiU"/>
        </w:rPr>
        <w:t>风</w:t>
      </w:r>
      <w:r>
        <w:rPr>
          <w:rStyle w:val="DefaultParagraphFont"/>
          <w:rFonts w:ascii="MS UI Gothic" w:eastAsia="MS UI Gothic" w:hAnsi="MS UI Gothic" w:cs="MS UI Gothic"/>
        </w:rPr>
        <w:t>良好的无遮</w:t>
      </w:r>
      <w:r>
        <w:rPr>
          <w:rStyle w:val="DefaultParagraphFont"/>
          <w:rFonts w:ascii="PMingLiU" w:eastAsia="PMingLiU" w:hAnsi="PMingLiU" w:cs="PMingLiU"/>
        </w:rPr>
        <w:t>挡</w:t>
      </w:r>
      <w:r>
        <w:rPr>
          <w:rStyle w:val="DefaultParagraphFont"/>
          <w:rFonts w:ascii="MS UI Gothic" w:eastAsia="MS UI Gothic" w:hAnsi="MS UI Gothic" w:cs="MS UI Gothic"/>
        </w:rPr>
        <w:t>位置，不要放在密</w:t>
      </w:r>
      <w:r>
        <w:rPr>
          <w:rStyle w:val="DefaultParagraphFont"/>
          <w:rFonts w:ascii="PMingLiU" w:eastAsia="PMingLiU" w:hAnsi="PMingLiU" w:cs="PMingLiU"/>
        </w:rPr>
        <w:t>闭</w:t>
      </w:r>
      <w:r>
        <w:rPr>
          <w:rStyle w:val="DefaultParagraphFont"/>
          <w:rFonts w:ascii="MS UI Gothic" w:eastAsia="MS UI Gothic" w:hAnsi="MS UI Gothic" w:cs="MS UI Gothic"/>
        </w:rPr>
        <w:t>空</w:t>
      </w:r>
      <w:r>
        <w:rPr>
          <w:rStyle w:val="DefaultParagraphFont"/>
          <w:rFonts w:ascii="PMingLiU" w:eastAsia="PMingLiU" w:hAnsi="PMingLiU" w:cs="PMingLiU"/>
        </w:rPr>
        <w:t>间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PMingLiU" w:eastAsia="PMingLiU" w:hAnsi="PMingLiU" w:cs="PMingLiU"/>
        </w:rPr>
        <w:t>墙</w:t>
      </w:r>
      <w:r>
        <w:rPr>
          <w:rStyle w:val="DefaultParagraphFont"/>
          <w:rFonts w:ascii="MS UI Gothic" w:eastAsia="MS UI Gothic" w:hAnsi="MS UI Gothic" w:cs="MS UI Gothic"/>
        </w:rPr>
        <w:t>角；</w:t>
      </w:r>
    </w:p>
    <w:p>
      <w:pPr>
        <w:numPr>
          <w:ilvl w:val="0"/>
          <w:numId w:val="1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将路由器的天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全部</w:t>
      </w:r>
      <w:r>
        <w:rPr>
          <w:rStyle w:val="DefaultParagraphFont"/>
          <w:rFonts w:ascii="PMingLiU" w:eastAsia="PMingLiU" w:hAnsi="PMingLiU" w:cs="PMingLiU"/>
        </w:rPr>
        <w:t>竖</w:t>
      </w:r>
      <w:r>
        <w:rPr>
          <w:rStyle w:val="DefaultParagraphFont"/>
          <w:rFonts w:ascii="MS UI Gothic" w:eastAsia="MS UI Gothic" w:hAnsi="MS UI Gothic" w:cs="MS UI Gothic"/>
        </w:rPr>
        <w:t>直展开；</w:t>
      </w:r>
    </w:p>
    <w:p>
      <w:pPr>
        <w:numPr>
          <w:ilvl w:val="0"/>
          <w:numId w:val="1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使路由器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离金属遮</w:t>
      </w:r>
      <w:r>
        <w:rPr>
          <w:rStyle w:val="DefaultParagraphFont"/>
          <w:rFonts w:ascii="PMingLiU" w:eastAsia="PMingLiU" w:hAnsi="PMingLiU" w:cs="PMingLiU"/>
        </w:rPr>
        <w:t>挡</w:t>
      </w:r>
      <w:r>
        <w:rPr>
          <w:rStyle w:val="DefaultParagraphFont"/>
          <w:rFonts w:ascii="MS UI Gothic" w:eastAsia="MS UI Gothic" w:hAnsi="MS UI Gothic" w:cs="MS UI Gothic"/>
        </w:rPr>
        <w:t>物，如弱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箱、金属架等；</w:t>
      </w:r>
    </w:p>
    <w:p>
      <w:pPr>
        <w:numPr>
          <w:ilvl w:val="0"/>
          <w:numId w:val="1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使路由器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离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气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，如微波炉、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磁炉、烤箱、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冰箱及座机</w:t>
      </w:r>
      <w:r>
        <w:rPr>
          <w:rStyle w:val="DefaultParagraphFont"/>
          <w:rFonts w:ascii="PMingLiU" w:eastAsia="PMingLiU" w:hAnsi="PMingLiU" w:cs="PMingLiU"/>
        </w:rPr>
        <w:t>电话</w:t>
      </w:r>
      <w:r>
        <w:rPr>
          <w:rStyle w:val="DefaultParagraphFont"/>
          <w:rFonts w:ascii="MS UI Gothic" w:eastAsia="MS UI Gothic" w:hAnsi="MS UI Gothic" w:cs="MS UI Gothic"/>
        </w:rPr>
        <w:t>等。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CQIG62"/>
      <w:bookmarkEnd w:id="2"/>
      <w:r>
        <w:rPr>
          <w:rStyle w:val="DefaultParagraphFont"/>
          <w:rFonts w:ascii="PMingLiU" w:eastAsia="PMingLiU" w:hAnsi="PMingLiU" w:cs="PMingLiU"/>
          <w:sz w:val="24"/>
          <w:szCs w:val="24"/>
        </w:rPr>
        <w:t>设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置上网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color w:val="FFFFFF"/>
          <w:sz w:val="24"/>
          <w:szCs w:val="24"/>
          <w:shd w:val="clear" w:color="auto" w:fill="3598DB"/>
        </w:rPr>
        <w:t> 1.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手机或</w:t>
      </w:r>
      <w:r>
        <w:rPr>
          <w:rStyle w:val="DefaultParagraphFont"/>
          <w:rFonts w:ascii="PMingLiU" w:eastAsia="PMingLiU" w:hAnsi="PMingLiU" w:cs="PMingLiU"/>
        </w:rPr>
        <w:t>电脑连</w:t>
      </w:r>
      <w:r>
        <w:rPr>
          <w:rStyle w:val="DefaultParagraphFont"/>
          <w:rFonts w:ascii="MS UI Gothic" w:eastAsia="MS UI Gothic" w:hAnsi="MS UI Gothic" w:cs="MS UI Gothic"/>
        </w:rPr>
        <w:t>接路由器无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。默</w:t>
      </w:r>
      <w:r>
        <w:rPr>
          <w:rStyle w:val="DefaultParagraphFont"/>
          <w:rFonts w:ascii="PMingLiU" w:eastAsia="PMingLiU" w:hAnsi="PMingLiU" w:cs="PMingLiU"/>
        </w:rPr>
        <w:t>认</w:t>
      </w:r>
      <w:r>
        <w:rPr>
          <w:rStyle w:val="DefaultParagraphFont"/>
          <w:rFonts w:ascii="MS UI Gothic" w:eastAsia="MS UI Gothic" w:hAnsi="MS UI Gothic" w:cs="MS UI Gothic"/>
        </w:rPr>
        <w:t>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名称</w:t>
      </w:r>
      <w:r>
        <w:rPr>
          <w:rStyle w:val="DefaultParagraphFont"/>
          <w:rFonts w:ascii="PMingLiU" w:eastAsia="PMingLiU" w:hAnsi="PMingLiU" w:cs="PMingLiU"/>
        </w:rPr>
        <w:t>请查</w:t>
      </w:r>
      <w:r>
        <w:rPr>
          <w:rStyle w:val="DefaultParagraphFont"/>
          <w:rFonts w:ascii="MS UI Gothic" w:eastAsia="MS UI Gothic" w:hAnsi="MS UI Gothic" w:cs="MS UI Gothic"/>
        </w:rPr>
        <w:t>看机身底面</w:t>
      </w:r>
      <w:r>
        <w:rPr>
          <w:rStyle w:val="DefaultParagraphFont"/>
          <w:rFonts w:ascii="PMingLiU" w:eastAsia="PMingLiU" w:hAnsi="PMingLiU" w:cs="PMingLiU"/>
        </w:rPr>
        <w:t>铭</w:t>
      </w:r>
      <w:r>
        <w:rPr>
          <w:rStyle w:val="DefaultParagraphFont"/>
          <w:rFonts w:ascii="MS UI Gothic" w:eastAsia="MS UI Gothic" w:hAnsi="MS UI Gothic" w:cs="MS UI Gothic"/>
        </w:rPr>
        <w:t>牌。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5629275"/>
            <wp:docPr id="10000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99389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color w:val="FFFFFF"/>
          <w:sz w:val="24"/>
          <w:szCs w:val="24"/>
          <w:shd w:val="clear" w:color="auto" w:fill="3598DB"/>
        </w:rPr>
        <w:t> 2.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打开</w:t>
      </w:r>
      <w:r>
        <w:rPr>
          <w:rStyle w:val="DefaultParagraphFont"/>
          <w:rFonts w:ascii="PMingLiU" w:eastAsia="PMingLiU" w:hAnsi="PMingLiU" w:cs="PMingLiU"/>
        </w:rPr>
        <w:t>浏览</w:t>
      </w:r>
      <w:r>
        <w:rPr>
          <w:rStyle w:val="DefaultParagraphFont"/>
          <w:rFonts w:ascii="MS UI Gothic" w:eastAsia="MS UI Gothic" w:hAnsi="MS UI Gothic" w:cs="MS UI Gothic"/>
        </w:rPr>
        <w:t>器，在地址</w:t>
      </w:r>
      <w:r>
        <w:rPr>
          <w:rStyle w:val="DefaultParagraphFont"/>
          <w:rFonts w:ascii="PMingLiU" w:eastAsia="PMingLiU" w:hAnsi="PMingLiU" w:cs="PMingLiU"/>
        </w:rPr>
        <w:t>栏输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Times New Roman" w:eastAsia="Times New Roman" w:hAnsi="Times New Roman" w:cs="Times New Roman"/>
        </w:rPr>
        <w:fldChar w:fldCharType="begin"/>
      </w:r>
      <w:r>
        <w:rPr>
          <w:rStyle w:val="DefaultParagraphFont"/>
          <w:rFonts w:ascii="Times New Roman" w:eastAsia="Times New Roman" w:hAnsi="Times New Roman" w:cs="Times New Roman"/>
        </w:rPr>
        <w:instrText xml:space="preserve"> HYPERLINK "http://tendawifi.com" </w:instrText>
      </w:r>
      <w:r>
        <w:rPr>
          <w:rStyle w:val="DefaultParagraphFont"/>
          <w:rFonts w:ascii="Times New Roman" w:eastAsia="Times New Roman" w:hAnsi="Times New Roman" w:cs="Times New Roman"/>
        </w:rPr>
        <w:fldChar w:fldCharType="separate"/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0000EE"/>
          <w:u w:val="single" w:color="0000EE"/>
        </w:rPr>
        <w:t>tendawifi.com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0000EE"/>
          <w:u w:val="single" w:color="0000EE"/>
        </w:rPr>
        <w:fldChar w:fldCharType="end"/>
      </w: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入路由器管理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面。或打开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Tenda WiFi</w:t>
      </w:r>
      <w:r>
        <w:rPr>
          <w:rStyle w:val="DefaultParagraphFont"/>
          <w:rFonts w:ascii="Times New Roman" w:eastAsia="Times New Roman" w:hAnsi="Times New Roman" w:cs="Times New Roman"/>
        </w:rPr>
        <w:t> App</w:t>
      </w:r>
      <w:r>
        <w:rPr>
          <w:rStyle w:val="DefaultParagraphFont"/>
          <w:rFonts w:ascii="MS UI Gothic" w:eastAsia="MS UI Gothic" w:hAnsi="MS UI Gothic" w:cs="MS UI Gothic"/>
        </w:rPr>
        <w:t>，按界面提示操作。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7448550"/>
            <wp:docPr id="10000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347262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5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提示</w:t>
      </w:r>
    </w:p>
    <w:p>
      <w:pPr>
        <w:pStyle w:val="Heading4"/>
        <w:keepNext w:val="0"/>
        <w:numPr>
          <w:ilvl w:val="0"/>
          <w:numId w:val="2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若您没有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预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装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Tenda WiFi App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，可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扫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描以下二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维码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下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载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。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                               </w:t>
      </w:r>
    </w:p>
    <w:p>
      <w:pPr>
        <w:shd w:val="clear" w:color="auto" w:fill="FFFFFF"/>
        <w:spacing w:after="319"/>
        <w:ind w:left="915" w:right="195"/>
        <w:jc w:val="left"/>
        <w:rPr>
          <w:rStyle w:val="DefaultParagraphFont"/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strike w:val="0"/>
          <w:color w:val="555555"/>
          <w:u w:val="none"/>
        </w:rPr>
        <w:drawing>
          <wp:inline>
            <wp:extent cx="1247775" cy="1323975"/>
            <wp:docPr id="10000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558394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numPr>
          <w:ilvl w:val="0"/>
          <w:numId w:val="2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若没有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进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入路由器管理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页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面，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参考</w:t>
      </w:r>
      <w:r>
        <w:rPr>
          <w:rStyle w:val="DefaultParagraphFont"/>
          <w:rFonts w:ascii="MS UI Gothic" w:eastAsia="MS UI Gothic" w:hAnsi="MS UI Gothic" w:cs="MS UI Gothic"/>
          <w:color w:val="E67E23"/>
          <w:sz w:val="24"/>
          <w:szCs w:val="24"/>
        </w:rPr>
        <w:t>常</w:t>
      </w:r>
      <w:r>
        <w:rPr>
          <w:rStyle w:val="DefaultParagraphFont"/>
          <w:rFonts w:ascii="PMingLiU" w:eastAsia="PMingLiU" w:hAnsi="PMingLiU" w:cs="PMingLiU"/>
          <w:color w:val="E67E23"/>
          <w:sz w:val="24"/>
          <w:szCs w:val="24"/>
        </w:rPr>
        <w:t>见问题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解决。</w:t>
      </w:r>
    </w:p>
    <w:p>
      <w:pPr>
        <w:pStyle w:val="Heading4"/>
        <w:keepNext w:val="0"/>
        <w:numPr>
          <w:ilvl w:val="0"/>
          <w:numId w:val="2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若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App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不能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发现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路由器，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参考</w:t>
      </w:r>
      <w:r>
        <w:rPr>
          <w:rStyle w:val="DefaultParagraphFont"/>
          <w:rFonts w:ascii="MS UI Gothic" w:eastAsia="MS UI Gothic" w:hAnsi="MS UI Gothic" w:cs="MS UI Gothic"/>
          <w:color w:val="E67E23"/>
          <w:sz w:val="24"/>
          <w:szCs w:val="24"/>
        </w:rPr>
        <w:t>常</w:t>
      </w:r>
      <w:r>
        <w:rPr>
          <w:rStyle w:val="DefaultParagraphFont"/>
          <w:rFonts w:ascii="PMingLiU" w:eastAsia="PMingLiU" w:hAnsi="PMingLiU" w:cs="PMingLiU"/>
          <w:color w:val="E67E23"/>
          <w:sz w:val="24"/>
          <w:szCs w:val="24"/>
        </w:rPr>
        <w:t>见问题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解决。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6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color w:val="FFFFFF"/>
          <w:sz w:val="24"/>
          <w:szCs w:val="24"/>
          <w:shd w:val="clear" w:color="auto" w:fill="3598DB"/>
        </w:rPr>
        <w:t> 3.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根据操作向</w:t>
      </w:r>
      <w:r>
        <w:rPr>
          <w:rStyle w:val="DefaultParagraphFont"/>
          <w:rFonts w:ascii="PMingLiU" w:eastAsia="PMingLiU" w:hAnsi="PMingLiU" w:cs="PMingLiU"/>
        </w:rPr>
        <w:t>导</w:t>
      </w:r>
      <w:r>
        <w:rPr>
          <w:rStyle w:val="DefaultParagraphFont"/>
          <w:rFonts w:ascii="MS UI Gothic" w:eastAsia="MS UI Gothic" w:hAnsi="MS UI Gothic" w:cs="MS UI Gothic"/>
        </w:rPr>
        <w:t>完成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置，下</w:t>
      </w:r>
      <w:r>
        <w:rPr>
          <w:rStyle w:val="DefaultParagraphFont"/>
          <w:rFonts w:ascii="PMingLiU" w:eastAsia="PMingLiU" w:hAnsi="PMingLiU" w:cs="PMingLiU"/>
        </w:rPr>
        <w:t>图</w:t>
      </w:r>
      <w:r>
        <w:rPr>
          <w:rStyle w:val="DefaultParagraphFont"/>
          <w:rFonts w:ascii="MS UI Gothic" w:eastAsia="MS UI Gothic" w:hAnsi="MS UI Gothic" w:cs="MS UI Gothic"/>
        </w:rPr>
        <w:t>以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端</w:t>
      </w:r>
      <w:r>
        <w:rPr>
          <w:rStyle w:val="DefaultParagraphFont"/>
          <w:rFonts w:ascii="PMingLiU" w:eastAsia="PMingLiU" w:hAnsi="PMingLiU" w:cs="PMingLiU"/>
        </w:rPr>
        <w:t>浏览</w:t>
      </w:r>
      <w:r>
        <w:rPr>
          <w:rStyle w:val="DefaultParagraphFont"/>
          <w:rFonts w:ascii="MS UI Gothic" w:eastAsia="MS UI Gothic" w:hAnsi="MS UI Gothic" w:cs="MS UI Gothic"/>
        </w:rPr>
        <w:t>器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7248525"/>
            <wp:docPr id="10000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405384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②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情景一：您的网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无需任何配置就可以上网（如，已通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光猫</w:t>
      </w:r>
      <w:r>
        <w:rPr>
          <w:rStyle w:val="DefaultParagraphFont"/>
          <w:rFonts w:ascii="PMingLiU" w:eastAsia="PMingLiU" w:hAnsi="PMingLiU" w:cs="PMingLiU"/>
        </w:rPr>
        <w:t>拨</w:t>
      </w:r>
      <w:r>
        <w:rPr>
          <w:rStyle w:val="DefaultParagraphFont"/>
          <w:rFonts w:ascii="MS UI Gothic" w:eastAsia="MS UI Gothic" w:hAnsi="MS UI Gothic" w:cs="MS UI Gothic"/>
        </w:rPr>
        <w:t>号上网）。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7505700"/>
            <wp:docPr id="10000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758819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情景二：您的网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需要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才能上网。</w:t>
      </w:r>
    </w:p>
    <w:p>
      <w:pPr>
        <w:numPr>
          <w:ilvl w:val="0"/>
          <w:numId w:val="3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若您</w:t>
      </w:r>
      <w:r>
        <w:rPr>
          <w:rStyle w:val="DefaultParagraphFont"/>
          <w:rFonts w:ascii="PMingLiU" w:eastAsia="PMingLiU" w:hAnsi="PMingLiU" w:cs="PMingLiU"/>
        </w:rPr>
        <w:t>记</w:t>
      </w:r>
      <w:r>
        <w:rPr>
          <w:rStyle w:val="DefaultParagraphFont"/>
          <w:rFonts w:ascii="MS UI Gothic" w:eastAsia="MS UI Gothic" w:hAnsi="MS UI Gothic" w:cs="MS UI Gothic"/>
        </w:rPr>
        <w:t>得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直接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入。</w:t>
      </w:r>
    </w:p>
    <w:p>
      <w:pPr>
        <w:numPr>
          <w:ilvl w:val="0"/>
          <w:numId w:val="3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若您忘</w:t>
      </w:r>
      <w:r>
        <w:rPr>
          <w:rStyle w:val="DefaultParagraphFont"/>
          <w:rFonts w:ascii="PMingLiU" w:eastAsia="PMingLiU" w:hAnsi="PMingLiU" w:cs="PMingLiU"/>
        </w:rPr>
        <w:t>记</w:t>
      </w:r>
      <w:r>
        <w:rPr>
          <w:rStyle w:val="DefaultParagraphFont"/>
          <w:rFonts w:ascii="MS UI Gothic" w:eastAsia="MS UI Gothic" w:hAnsi="MS UI Gothic" w:cs="MS UI Gothic"/>
        </w:rPr>
        <w:t>了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：点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从旧路由器</w:t>
      </w:r>
      <w:r>
        <w:rPr>
          <w:rStyle w:val="DefaultParagraphFont"/>
          <w:rFonts w:ascii="PMingLiU" w:eastAsia="PMingLiU" w:hAnsi="PMingLiU" w:cs="PMingLiU"/>
          <w:b/>
          <w:bCs/>
        </w:rPr>
        <w:t>导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入</w:t>
      </w:r>
      <w:r>
        <w:rPr>
          <w:rStyle w:val="DefaultParagraphFont"/>
          <w:rFonts w:ascii="PMingLiU" w:eastAsia="PMingLiU" w:hAnsi="PMingLiU" w:cs="PMingLiU"/>
          <w:b/>
          <w:bCs/>
        </w:rPr>
        <w:t>宽带账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号密</w:t>
      </w:r>
      <w:r>
        <w:rPr>
          <w:rStyle w:val="DefaultParagraphFont"/>
          <w:rFonts w:ascii="PMingLiU" w:eastAsia="PMingLiU" w:hAnsi="PMingLiU" w:cs="PMingLiU"/>
          <w:b/>
          <w:bCs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，然后根据提示操作。或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系</w:t>
      </w:r>
      <w:r>
        <w:rPr>
          <w:rStyle w:val="DefaultParagraphFont"/>
          <w:rFonts w:ascii="PMingLiU" w:eastAsia="PMingLiU" w:hAnsi="PMingLiU" w:cs="PMingLiU"/>
        </w:rPr>
        <w:t>宽带</w:t>
      </w:r>
      <w:r>
        <w:rPr>
          <w:rStyle w:val="DefaultParagraphFont"/>
          <w:rFonts w:ascii="MS UI Gothic" w:eastAsia="MS UI Gothic" w:hAnsi="MS UI Gothic" w:cs="MS UI Gothic"/>
        </w:rPr>
        <w:t>运</w:t>
      </w:r>
      <w:r>
        <w:rPr>
          <w:rStyle w:val="DefaultParagraphFont"/>
          <w:rFonts w:ascii="PMingLiU" w:eastAsia="PMingLiU" w:hAnsi="PMingLiU" w:cs="PMingLiU"/>
        </w:rPr>
        <w:t>营</w:t>
      </w:r>
      <w:r>
        <w:rPr>
          <w:rStyle w:val="DefaultParagraphFont"/>
          <w:rFonts w:ascii="MS UI Gothic" w:eastAsia="MS UI Gothic" w:hAnsi="MS UI Gothic" w:cs="MS UI Gothic"/>
        </w:rPr>
        <w:t>商</w:t>
      </w:r>
      <w:r>
        <w:rPr>
          <w:rStyle w:val="DefaultParagraphFont"/>
          <w:rFonts w:ascii="PMingLiU" w:eastAsia="PMingLiU" w:hAnsi="PMingLiU" w:cs="PMingLiU"/>
        </w:rPr>
        <w:t>获</w:t>
      </w:r>
      <w:r>
        <w:rPr>
          <w:rStyle w:val="DefaultParagraphFont"/>
          <w:rFonts w:ascii="MS UI Gothic" w:eastAsia="MS UI Gothic" w:hAnsi="MS UI Gothic" w:cs="MS UI Gothic"/>
        </w:rPr>
        <w:t>取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，然后手</w:t>
      </w:r>
      <w:r>
        <w:rPr>
          <w:rStyle w:val="DefaultParagraphFont"/>
          <w:rFonts w:ascii="PMingLiU" w:eastAsia="PMingLiU" w:hAnsi="PMingLiU" w:cs="PMingLiU"/>
        </w:rPr>
        <w:t>动输</w:t>
      </w:r>
      <w:r>
        <w:rPr>
          <w:rStyle w:val="DefaultParagraphFont"/>
          <w:rFonts w:ascii="MS UI Gothic" w:eastAsia="MS UI Gothic" w:hAnsi="MS UI Gothic" w:cs="MS UI Gothic"/>
        </w:rPr>
        <w:t>入。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8467725"/>
            <wp:docPr id="10001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468180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③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7600950"/>
            <wp:docPr id="10001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240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iconfonticon-shezhiwancheng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置完成。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指示灯</w:t>
      </w:r>
      <w:r>
        <w:rPr>
          <w:rStyle w:val="DefaultParagraphFont"/>
          <w:rFonts w:ascii="PMingLiU" w:eastAsia="PMingLiU" w:hAnsi="PMingLiU" w:cs="PMingLiU"/>
        </w:rPr>
        <w:t>绿</w:t>
      </w:r>
      <w:r>
        <w:rPr>
          <w:rStyle w:val="DefaultParagraphFont"/>
          <w:rFonts w:ascii="MS UI Gothic" w:eastAsia="MS UI Gothic" w:hAnsi="MS UI Gothic" w:cs="MS UI Gothic"/>
        </w:rPr>
        <w:t>色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亮，表示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网成功。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strike w:val="0"/>
          <w:u w:val="none"/>
        </w:rPr>
        <w:drawing>
          <wp:inline>
            <wp:extent cx="13906500" cy="10344150"/>
            <wp:docPr id="10001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664016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</w:p>
    <w:p>
      <w:pPr>
        <w:numPr>
          <w:ilvl w:val="0"/>
          <w:numId w:val="4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接路由器新的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</w:rPr>
        <w:t>2.4GHz Wi-Fi</w:t>
      </w:r>
      <w:r>
        <w:rPr>
          <w:rStyle w:val="DefaultParagraphFont"/>
          <w:rFonts w:ascii="MS UI Gothic" w:eastAsia="MS UI Gothic" w:hAnsi="MS UI Gothic" w:cs="MS UI Gothic"/>
        </w:rPr>
        <w:t>名称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PMingLiU" w:eastAsia="PMingLiU" w:hAnsi="PMingLiU" w:cs="PMingLiU"/>
        </w:rPr>
        <w:t>见</w:t>
      </w:r>
      <w:r>
        <w:rPr>
          <w:rStyle w:val="DefaultParagraphFont"/>
          <w:rFonts w:ascii="MS UI Gothic" w:eastAsia="MS UI Gothic" w:hAnsi="MS UI Gothic" w:cs="MS UI Gothic"/>
        </w:rPr>
        <w:t>配置完成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提示；</w:t>
      </w:r>
      <w:r>
        <w:rPr>
          <w:rStyle w:val="DefaultParagraphFont"/>
          <w:rFonts w:ascii="Times New Roman" w:eastAsia="Times New Roman" w:hAnsi="Times New Roman" w:cs="Times New Roman"/>
        </w:rPr>
        <w:t>5GHz Wi-Fi</w:t>
      </w:r>
      <w:r>
        <w:rPr>
          <w:rStyle w:val="DefaultParagraphFont"/>
          <w:rFonts w:ascii="MS UI Gothic" w:eastAsia="MS UI Gothic" w:hAnsi="MS UI Gothic" w:cs="MS UI Gothic"/>
        </w:rPr>
        <w:t>名称：</w:t>
      </w:r>
      <w:r>
        <w:rPr>
          <w:rStyle w:val="DefaultParagraphFont"/>
          <w:rFonts w:ascii="Times New Roman" w:eastAsia="Times New Roman" w:hAnsi="Times New Roman" w:cs="Times New Roman"/>
          <w:i/>
          <w:iCs/>
        </w:rPr>
        <w:t>2.4GHz Wi-Fi</w:t>
      </w:r>
      <w:r>
        <w:rPr>
          <w:rStyle w:val="DefaultParagraphFont"/>
          <w:rFonts w:ascii="MS UI Gothic" w:eastAsia="MS UI Gothic" w:hAnsi="MS UI Gothic" w:cs="MS UI Gothic"/>
          <w:i/>
          <w:iCs/>
        </w:rPr>
        <w:t>名称</w:t>
      </w:r>
      <w:r>
        <w:rPr>
          <w:rStyle w:val="DefaultParagraphFont"/>
          <w:rFonts w:ascii="Times New Roman" w:eastAsia="Times New Roman" w:hAnsi="Times New Roman" w:cs="Times New Roman"/>
        </w:rPr>
        <w:t>_5G</w:t>
      </w:r>
      <w:r>
        <w:rPr>
          <w:rStyle w:val="DefaultParagraphFont"/>
          <w:rFonts w:ascii="MS UI Gothic" w:eastAsia="MS UI Gothic" w:hAnsi="MS UI Gothic" w:cs="MS UI Gothic"/>
        </w:rPr>
        <w:t>；</w:t>
      </w:r>
      <w:r>
        <w:rPr>
          <w:rStyle w:val="DefaultParagraphFont"/>
          <w:rFonts w:ascii="Times New Roman" w:eastAsia="Times New Roman" w:hAnsi="Times New Roman" w:cs="Times New Roman"/>
        </w:rPr>
        <w:t>5GHz Wi-Fi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：与</w:t>
      </w:r>
      <w:r>
        <w:rPr>
          <w:rStyle w:val="DefaultParagraphFont"/>
          <w:rFonts w:ascii="Times New Roman" w:eastAsia="Times New Roman" w:hAnsi="Times New Roman" w:cs="Times New Roman"/>
        </w:rPr>
        <w:t>2.4GHz Wi-Fi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相同）即可。</w:t>
      </w:r>
    </w:p>
    <w:p>
      <w:pPr>
        <w:numPr>
          <w:ilvl w:val="0"/>
          <w:numId w:val="4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有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：用网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将</w:t>
      </w:r>
      <w:r>
        <w:rPr>
          <w:rStyle w:val="DefaultParagraphFont"/>
          <w:rFonts w:ascii="PMingLiU" w:eastAsia="PMingLiU" w:hAnsi="PMingLiU" w:cs="PMingLiU"/>
        </w:rPr>
        <w:t>设备连</w:t>
      </w:r>
      <w:r>
        <w:rPr>
          <w:rStyle w:val="DefaultParagraphFont"/>
          <w:rFonts w:ascii="MS UI Gothic" w:eastAsia="MS UI Gothic" w:hAnsi="MS UI Gothic" w:cs="MS UI Gothic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</w:rPr>
        <w:t>LAN</w:t>
      </w:r>
      <w:r>
        <w:rPr>
          <w:rStyle w:val="DefaultParagraphFont"/>
          <w:rFonts w:ascii="MS UI Gothic" w:eastAsia="MS UI Gothic" w:hAnsi="MS UI Gothic" w:cs="MS UI Gothic"/>
        </w:rPr>
        <w:t>口即可。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7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提示</w:t>
      </w:r>
    </w:p>
    <w:p>
      <w:pPr>
        <w:pStyle w:val="Heading4"/>
        <w:keepNext w:val="0"/>
        <w:numPr>
          <w:ilvl w:val="0"/>
          <w:numId w:val="5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若不能上网，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参考</w:t>
      </w:r>
      <w:r>
        <w:rPr>
          <w:rStyle w:val="DefaultParagraphFont"/>
          <w:rFonts w:ascii="MS UI Gothic" w:eastAsia="MS UI Gothic" w:hAnsi="MS UI Gothic" w:cs="MS UI Gothic"/>
          <w:color w:val="E67E23"/>
          <w:sz w:val="24"/>
          <w:szCs w:val="24"/>
        </w:rPr>
        <w:t>常</w:t>
      </w:r>
      <w:r>
        <w:rPr>
          <w:rStyle w:val="DefaultParagraphFont"/>
          <w:rFonts w:ascii="PMingLiU" w:eastAsia="PMingLiU" w:hAnsi="PMingLiU" w:cs="PMingLiU"/>
          <w:color w:val="E67E23"/>
          <w:sz w:val="24"/>
          <w:szCs w:val="24"/>
        </w:rPr>
        <w:t>见问题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解决。</w:t>
      </w:r>
    </w:p>
    <w:p>
      <w:pPr>
        <w:pStyle w:val="Heading4"/>
        <w:keepNext w:val="0"/>
        <w:numPr>
          <w:ilvl w:val="0"/>
          <w:numId w:val="5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若您是通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过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Tenda WiFi App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设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置上网，且您想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远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程管理网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络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点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击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App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主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页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的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，登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录账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号。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8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CQIG63"/>
      <w:bookmarkEnd w:id="3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指示灯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接口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按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钮说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明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7353300"/>
            <wp:docPr id="10001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15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soNormalTable"/>
        <w:tblW w:w="4000" w:type="pct"/>
        <w:tblCellSpacing w:w="0" w:type="dxa"/>
        <w:tblInd w:w="323" w:type="dxa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</w:tblBorders>
        <w:shd w:val="clear" w:color="auto" w:fill="FFFFFF"/>
        <w:tblCellMar>
          <w:top w:w="0" w:type="dxa"/>
          <w:left w:w="0" w:type="dxa"/>
          <w:bottom w:w="0" w:type="dxa"/>
          <w:right w:w="0" w:type="dxa"/>
        </w:tblCellMar>
        <w:tblLook w:val="05E0"/>
      </w:tblPr>
      <w:tblGrid>
        <w:gridCol w:w="1125"/>
        <w:gridCol w:w="2059"/>
        <w:gridCol w:w="1261"/>
        <w:gridCol w:w="4311"/>
      </w:tblGrid>
      <w:tr>
        <w:tblPrEx>
          <w:tblW w:w="4000" w:type="pct"/>
          <w:tblCellSpacing w:w="0" w:type="dxa"/>
          <w:tblInd w:w="323" w:type="dxa"/>
          <w:tblBorders>
            <w:top w:val="outset" w:sz="6" w:space="0" w:color="808080"/>
            <w:left w:val="outset" w:sz="6" w:space="0" w:color="808080"/>
            <w:bottom w:val="outset" w:sz="6" w:space="0" w:color="808080"/>
            <w:right w:val="outset" w:sz="6" w:space="0" w:color="80808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rHeight w:val="679"/>
          <w:tblCellSpacing w:w="0" w:type="dxa"/>
        </w:trPr>
        <w:tc>
          <w:tcPr>
            <w:tcW w:w="8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FFFFFF"/>
            </w:tcBorders>
            <w:shd w:val="clear" w:color="auto" w:fill="F2F2F2"/>
            <w:noWrap w:val="0"/>
            <w:tcMar>
              <w:top w:w="1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hd w:val="clear" w:color="auto" w:fill="F2F2F2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指示灯</w:t>
            </w:r>
          </w:p>
        </w:tc>
        <w:tc>
          <w:tcPr>
            <w:tcW w:w="987" w:type="dxa"/>
            <w:tcBorders>
              <w:top w:val="single" w:sz="8" w:space="0" w:color="D9D9D9"/>
              <w:bottom w:val="single" w:sz="8" w:space="0" w:color="D9D9D9"/>
              <w:right w:val="single" w:sz="8" w:space="0" w:color="FFFFFF"/>
            </w:tcBorders>
            <w:shd w:val="clear" w:color="auto" w:fill="F2F2F2"/>
            <w:noWrap w:val="0"/>
            <w:tcMar>
              <w:top w:w="10" w:type="dxa"/>
              <w:left w:w="108" w:type="dxa"/>
              <w:bottom w:w="10" w:type="dxa"/>
              <w:right w:w="118" w:type="dxa"/>
            </w:tcMar>
            <w:vAlign w:val="top"/>
          </w:tcPr>
          <w:p>
            <w:pPr>
              <w:pStyle w:val="Heading4"/>
              <w:keepNext w:val="0"/>
              <w:shd w:val="clear" w:color="auto" w:fill="F2F2F2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指示情景</w:t>
            </w:r>
          </w:p>
        </w:tc>
        <w:tc>
          <w:tcPr>
            <w:tcW w:w="1035" w:type="dxa"/>
            <w:tcBorders>
              <w:top w:val="single" w:sz="8" w:space="0" w:color="D9D9D9"/>
              <w:bottom w:val="single" w:sz="8" w:space="0" w:color="D9D9D9"/>
              <w:right w:val="single" w:sz="8" w:space="0" w:color="FFFFFF"/>
            </w:tcBorders>
            <w:shd w:val="clear" w:color="auto" w:fill="F2F2F2"/>
            <w:noWrap w:val="0"/>
            <w:tcMar>
              <w:top w:w="1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hd w:val="clear" w:color="auto" w:fill="F2F2F2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状态</w:t>
            </w:r>
          </w:p>
        </w:tc>
        <w:tc>
          <w:tcPr>
            <w:tcW w:w="2606" w:type="dxa"/>
            <w:tcBorders>
              <w:top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2F2F2"/>
            <w:noWrap w:val="0"/>
            <w:tcMar>
              <w:top w:w="1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hd w:val="clear" w:color="auto" w:fill="F2F2F2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说明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rHeight w:val="679"/>
          <w:tblCellSpacing w:w="0" w:type="dxa"/>
        </w:trPr>
        <w:tc>
          <w:tcPr>
            <w:tcW w:w="889" w:type="dxa"/>
            <w:vMerge w:val="restart"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指示灯</w:t>
            </w:r>
          </w:p>
        </w:tc>
        <w:tc>
          <w:tcPr>
            <w:tcW w:w="987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启动</w:t>
            </w:r>
          </w:p>
        </w:tc>
        <w:tc>
          <w:tcPr>
            <w:tcW w:w="1035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绿色长亮</w:t>
            </w:r>
          </w:p>
        </w:tc>
        <w:tc>
          <w:tcPr>
            <w:tcW w:w="2606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系统正在启动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rHeight w:val="679"/>
          <w:tblCellSpacing w:w="0" w:type="dxa"/>
        </w:trPr>
        <w:tc>
          <w:tcPr>
            <w:vMerge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vAlign w:val="center"/>
          </w:tcPr>
          <w:p>
            <w:pP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</w:p>
        </w:tc>
        <w:tc>
          <w:tcPr>
            <w:tcW w:w="987" w:type="dxa"/>
            <w:vMerge w:val="restart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联网</w:t>
            </w:r>
          </w:p>
        </w:tc>
        <w:tc>
          <w:tcPr>
            <w:tcW w:w="1035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绿色长亮</w:t>
            </w:r>
          </w:p>
        </w:tc>
        <w:tc>
          <w:tcPr>
            <w:tcW w:w="2606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联网成功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rHeight w:val="679"/>
          <w:tblCellSpacing w:w="0" w:type="dxa"/>
        </w:trPr>
        <w:tc>
          <w:tcPr>
            <w:vMerge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vAlign w:val="center"/>
          </w:tcPr>
          <w:p>
            <w:pP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</w:p>
        </w:tc>
        <w:tc>
          <w:tcPr>
            <w:vMerge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vAlign w:val="center"/>
          </w:tcPr>
          <w:p>
            <w:pP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绿色慢闪</w:t>
            </w:r>
          </w:p>
        </w:tc>
        <w:tc>
          <w:tcPr>
            <w:tcW w:w="2606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未设置，未联网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rHeight w:val="679"/>
          <w:tblCellSpacing w:w="0" w:type="dxa"/>
        </w:trPr>
        <w:tc>
          <w:tcPr>
            <w:vMerge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vAlign w:val="center"/>
          </w:tcPr>
          <w:p>
            <w:pP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</w:p>
        </w:tc>
        <w:tc>
          <w:tcPr>
            <w:vMerge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vAlign w:val="center"/>
          </w:tcPr>
          <w:p>
            <w:pP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红色慢闪</w:t>
            </w:r>
          </w:p>
        </w:tc>
        <w:tc>
          <w:tcPr>
            <w:tcW w:w="2606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设置完成，但联网失败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rHeight w:val="679"/>
          <w:tblCellSpacing w:w="0" w:type="dxa"/>
        </w:trPr>
        <w:tc>
          <w:tcPr>
            <w:vMerge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vAlign w:val="center"/>
          </w:tcPr>
          <w:p>
            <w:pP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</w:p>
        </w:tc>
        <w:tc>
          <w:tcPr>
            <w:vMerge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vAlign w:val="center"/>
          </w:tcPr>
          <w:p>
            <w:pP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橙色慢闪</w:t>
            </w:r>
          </w:p>
        </w:tc>
        <w:tc>
          <w:tcPr>
            <w:tcW w:w="2606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设置完成，但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WAN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口未检测到网线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rHeight w:val="679"/>
          <w:tblCellSpacing w:w="0" w:type="dxa"/>
        </w:trPr>
        <w:tc>
          <w:tcPr>
            <w:vMerge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vAlign w:val="center"/>
          </w:tcPr>
          <w:p>
            <w:pP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</w:p>
        </w:tc>
        <w:tc>
          <w:tcPr>
            <w:tcW w:w="987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WPS</w:t>
            </w:r>
          </w:p>
        </w:tc>
        <w:tc>
          <w:tcPr>
            <w:tcW w:w="1035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绿色快闪</w:t>
            </w:r>
          </w:p>
        </w:tc>
        <w:tc>
          <w:tcPr>
            <w:tcW w:w="2606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进入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WPS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协商状态（有效期为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分钟）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rHeight w:val="679"/>
          <w:tblCellSpacing w:w="0" w:type="dxa"/>
        </w:trPr>
        <w:tc>
          <w:tcPr>
            <w:vMerge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vAlign w:val="center"/>
          </w:tcPr>
          <w:p>
            <w:pP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</w:p>
        </w:tc>
        <w:tc>
          <w:tcPr>
            <w:tcW w:w="987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插拔网线</w:t>
            </w:r>
          </w:p>
        </w:tc>
        <w:tc>
          <w:tcPr>
            <w:tcW w:w="1035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绿色快闪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3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秒</w:t>
            </w:r>
          </w:p>
        </w:tc>
        <w:tc>
          <w:tcPr>
            <w:tcW w:w="2606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网口有设备接入，或有设备移除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rHeight w:val="679"/>
          <w:tblCellSpacing w:w="0" w:type="dxa"/>
        </w:trPr>
        <w:tc>
          <w:tcPr>
            <w:vMerge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vAlign w:val="center"/>
          </w:tcPr>
          <w:p>
            <w:pP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</w:p>
        </w:tc>
        <w:tc>
          <w:tcPr>
            <w:tcW w:w="987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宽带迁移</w:t>
            </w:r>
          </w:p>
        </w:tc>
        <w:tc>
          <w:tcPr>
            <w:tcW w:w="1035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绿色快闪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8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秒</w:t>
            </w:r>
          </w:p>
        </w:tc>
        <w:tc>
          <w:tcPr>
            <w:tcW w:w="2606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宽带账号密码迁移成功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rHeight w:val="679"/>
          <w:tblCellSpacing w:w="0" w:type="dxa"/>
        </w:trPr>
        <w:tc>
          <w:tcPr>
            <w:vMerge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vAlign w:val="center"/>
          </w:tcPr>
          <w:p>
            <w:pP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</w:p>
        </w:tc>
        <w:tc>
          <w:tcPr>
            <w:tcW w:w="987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恢复出厂设置</w:t>
            </w:r>
          </w:p>
        </w:tc>
        <w:tc>
          <w:tcPr>
            <w:tcW w:w="1035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橙色快闪</w:t>
            </w:r>
          </w:p>
        </w:tc>
        <w:tc>
          <w:tcPr>
            <w:tcW w:w="2606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开始恢复出厂设置</w:t>
            </w:r>
          </w:p>
        </w:tc>
      </w:tr>
    </w:tbl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7353300"/>
            <wp:docPr id="10001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012051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soTableGrid"/>
        <w:tblW w:w="4000" w:type="pct"/>
        <w:tblCellSpacing w:w="0" w:type="dxa"/>
        <w:tblInd w:w="323" w:type="dxa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</w:tblBorders>
        <w:shd w:val="clear" w:color="auto" w:fill="FFFFFF"/>
        <w:tblCellMar>
          <w:top w:w="0" w:type="dxa"/>
          <w:left w:w="0" w:type="dxa"/>
          <w:bottom w:w="0" w:type="dxa"/>
          <w:right w:w="0" w:type="dxa"/>
        </w:tblCellMar>
        <w:tblLook w:val="05E0"/>
      </w:tblPr>
      <w:tblGrid>
        <w:gridCol w:w="1843"/>
        <w:gridCol w:w="6914"/>
      </w:tblGrid>
      <w:tr>
        <w:tblPrEx>
          <w:tblW w:w="4000" w:type="pct"/>
          <w:tblCellSpacing w:w="0" w:type="dxa"/>
          <w:tblInd w:w="323" w:type="dxa"/>
          <w:tblBorders>
            <w:top w:val="outset" w:sz="6" w:space="0" w:color="808080"/>
            <w:left w:val="outset" w:sz="6" w:space="0" w:color="808080"/>
            <w:bottom w:val="outset" w:sz="6" w:space="0" w:color="808080"/>
            <w:right w:val="outset" w:sz="6" w:space="0" w:color="80808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blHeader/>
          <w:tblCellSpacing w:w="0" w:type="dxa"/>
        </w:trPr>
        <w:tc>
          <w:tcPr>
            <w:tcW w:w="18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noWrap w:val="0"/>
            <w:tcMar>
              <w:top w:w="1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hd w:val="clear" w:color="auto" w:fill="F2F2F2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接口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/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按钮</w:t>
            </w:r>
          </w:p>
        </w:tc>
        <w:tc>
          <w:tcPr>
            <w:tcW w:w="8284" w:type="dxa"/>
            <w:tcBorders>
              <w:top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noWrap w:val="0"/>
            <w:tcMar>
              <w:top w:w="1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hd w:val="clear" w:color="auto" w:fill="F2F2F2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说明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blCellSpacing w:w="0" w:type="dxa"/>
        </w:trPr>
        <w:tc>
          <w:tcPr>
            <w:tcW w:w="1887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FFFFF"/>
            <w:noWrap w:val="0"/>
            <w:tcMar>
              <w:top w:w="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IPTV/3</w:t>
            </w:r>
          </w:p>
        </w:tc>
        <w:tc>
          <w:tcPr>
            <w:tcW w:w="8284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内网（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LAN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）接口、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IPTV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口复用，默认为内网接口。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10/100/1000Mbps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自适应。</w:t>
            </w:r>
          </w:p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路由器启用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IPTV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功能后，仅作为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IPTV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口连接机顶盒。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blCellSpacing w:w="0" w:type="dxa"/>
        </w:trPr>
        <w:tc>
          <w:tcPr>
            <w:tcW w:w="1887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FFFFF"/>
            <w:noWrap w:val="0"/>
            <w:tcMar>
              <w:top w:w="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1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、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8284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内网接口。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10/100/1000Mbps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自适应。</w:t>
            </w:r>
          </w:p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连接电脑、交换机、游戏机等。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blCellSpacing w:w="0" w:type="dxa"/>
        </w:trPr>
        <w:tc>
          <w:tcPr>
            <w:tcW w:w="1887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FFFFF"/>
            <w:noWrap w:val="0"/>
            <w:tcMar>
              <w:top w:w="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WAN</w:t>
            </w:r>
          </w:p>
        </w:tc>
        <w:tc>
          <w:tcPr>
            <w:tcW w:w="8284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互联网接口。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10/100/1000Mbps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自适应。</w:t>
            </w:r>
          </w:p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用于连接光猫、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DSL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猫、有线电视猫或宽带网口。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blCellSpacing w:w="0" w:type="dxa"/>
        </w:trPr>
        <w:tc>
          <w:tcPr>
            <w:tcW w:w="1887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FFFFF"/>
            <w:noWrap w:val="0"/>
            <w:tcMar>
              <w:top w:w="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WPS/RST</w:t>
            </w:r>
          </w:p>
        </w:tc>
        <w:tc>
          <w:tcPr>
            <w:tcW w:w="8284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WPS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、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RST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复用按钮。</w:t>
            </w:r>
          </w:p>
          <w:p>
            <w:pPr>
              <w:pStyle w:val="Heading4"/>
              <w:keepNext w:val="0"/>
              <w:numPr>
                <w:ilvl w:val="0"/>
                <w:numId w:val="6"/>
              </w:numPr>
              <w:spacing w:before="319" w:after="319"/>
              <w:ind w:left="720" w:hanging="210"/>
              <w:jc w:val="left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作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为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</w:rPr>
              <w:t>WPS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按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钮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：按一下，指示灯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绿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色快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闪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，路由器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进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入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</w:rPr>
              <w:t>WPS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协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商状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态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。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</w:rPr>
              <w:t>2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分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钟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内，客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户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端可以通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过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</w:rPr>
              <w:t>WPS-PBC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方式便捷地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连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接到路由器的无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线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网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络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，无需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输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入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</w:rPr>
              <w:t>Wi-Fi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密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码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。</w:t>
            </w:r>
          </w:p>
          <w:p>
            <w:pPr>
              <w:pStyle w:val="Heading4"/>
              <w:keepNext w:val="0"/>
              <w:numPr>
                <w:ilvl w:val="0"/>
                <w:numId w:val="6"/>
              </w:numPr>
              <w:spacing w:before="319" w:after="319"/>
              <w:ind w:left="720" w:hanging="210"/>
              <w:jc w:val="left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作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为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RST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按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钮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：确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认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路由器启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动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完成后，按住此按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钮约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8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秒，当指示灯橙色快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闪时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松开，路由器将会恢复出厂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设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置。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blCellSpacing w:w="0" w:type="dxa"/>
        </w:trPr>
        <w:tc>
          <w:tcPr>
            <w:tcW w:w="1887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FFFFF"/>
            <w:noWrap w:val="0"/>
            <w:tcMar>
              <w:top w:w="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POWER</w:t>
            </w:r>
          </w:p>
        </w:tc>
        <w:tc>
          <w:tcPr>
            <w:tcW w:w="8284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电源接口。</w:t>
            </w:r>
          </w:p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请使用包装配套的电源适配器给路由器通电。</w:t>
            </w:r>
          </w:p>
        </w:tc>
      </w:tr>
    </w:tbl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 w:rsidR="00A77B3E"/>
    <w:sectPr>
      <w:pgSz w:w="11906" w:h="16838"/>
      <w:pgMar w:top="1200" w:right="200" w:bottom="1600" w:left="400" w:header="0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iconfonticon-tishi">
    <w:name w:val="iconfont icon-tishi"/>
    <w:basedOn w:val="DefaultParagraphFont"/>
  </w:style>
  <w:style w:type="character" w:customStyle="1" w:styleId="iconfonticon-shezhiwancheng">
    <w:name w:val="iconfont icon-shezhiwancheng"/>
    <w:basedOn w:val="DefaultParagraphFont"/>
  </w:style>
  <w:style w:type="table" w:customStyle="1" w:styleId="MsoNormalTable">
    <w:name w:val="MsoNormalTable"/>
    <w:basedOn w:val="TableNormal"/>
    <w:tblPr/>
  </w:style>
  <w:style w:type="table" w:customStyle="1" w:styleId="MsoTableGrid">
    <w:name w:val="MsoTableGrid"/>
    <w:basedOn w:val="TableNormal"/>
    <w:tblPr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